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68132" w14:textId="77777777" w:rsidR="00615324" w:rsidRPr="00C34EA9" w:rsidRDefault="00615324" w:rsidP="00615324">
      <w:pPr>
        <w:spacing w:line="240" w:lineRule="auto"/>
        <w:rPr>
          <w:b/>
          <w:lang w:val="fr-CH"/>
        </w:rPr>
      </w:pPr>
      <w:bookmarkStart w:id="0" w:name="BkmStart"/>
      <w:bookmarkStart w:id="1" w:name="_Hlk181356021"/>
      <w:bookmarkEnd w:id="0"/>
      <w:r w:rsidRPr="00C34EA9">
        <w:rPr>
          <w:b/>
          <w:lang w:val="fr-CH"/>
        </w:rPr>
        <w:t>INFORMATION AUX MÉDIAS</w:t>
      </w:r>
    </w:p>
    <w:bookmarkEnd w:id="1"/>
    <w:p w14:paraId="3E0DA9C0" w14:textId="66861D34" w:rsidR="00371B73" w:rsidRPr="00C34EA9" w:rsidRDefault="00615324" w:rsidP="00371B73">
      <w:pPr>
        <w:spacing w:line="240" w:lineRule="auto"/>
        <w:rPr>
          <w:lang w:val="fr-CH"/>
        </w:rPr>
      </w:pPr>
      <w:r w:rsidRPr="00C34EA9">
        <w:rPr>
          <w:lang w:val="fr-CH"/>
        </w:rPr>
        <w:t xml:space="preserve"> </w:t>
      </w:r>
    </w:p>
    <w:p w14:paraId="20F32D25" w14:textId="51C6A017" w:rsidR="00A374FF" w:rsidRDefault="00615324" w:rsidP="00371B73">
      <w:pPr>
        <w:spacing w:line="240" w:lineRule="auto"/>
        <w:rPr>
          <w:sz w:val="24"/>
          <w:lang w:val="fr-CH"/>
        </w:rPr>
      </w:pPr>
      <w:r w:rsidRPr="00615324">
        <w:rPr>
          <w:sz w:val="24"/>
          <w:lang w:val="fr-CH"/>
        </w:rPr>
        <w:t xml:space="preserve">BAK </w:t>
      </w:r>
      <w:r w:rsidR="00706F3E">
        <w:rPr>
          <w:sz w:val="24"/>
          <w:lang w:val="fr-CH"/>
        </w:rPr>
        <w:t>–</w:t>
      </w:r>
      <w:r w:rsidRPr="00615324">
        <w:rPr>
          <w:sz w:val="24"/>
          <w:lang w:val="fr-CH"/>
        </w:rPr>
        <w:t xml:space="preserve"> Perspectives conjoncturelles pour la branche automobile suisse</w:t>
      </w:r>
    </w:p>
    <w:p w14:paraId="4875B146" w14:textId="77777777" w:rsidR="00615324" w:rsidRPr="00615324" w:rsidRDefault="00615324" w:rsidP="00371B73">
      <w:pPr>
        <w:spacing w:line="240" w:lineRule="auto"/>
        <w:rPr>
          <w:sz w:val="24"/>
          <w:lang w:val="fr-CH"/>
        </w:rPr>
      </w:pPr>
    </w:p>
    <w:p w14:paraId="4F59E2F2" w14:textId="77777777" w:rsidR="00615324" w:rsidRPr="00615324" w:rsidRDefault="00615324" w:rsidP="00615324">
      <w:pPr>
        <w:spacing w:line="240" w:lineRule="auto"/>
        <w:rPr>
          <w:b/>
          <w:bCs/>
          <w:sz w:val="32"/>
          <w:szCs w:val="32"/>
          <w:lang w:val="fr-CH"/>
        </w:rPr>
      </w:pPr>
      <w:r w:rsidRPr="00615324">
        <w:rPr>
          <w:b/>
          <w:bCs/>
          <w:sz w:val="32"/>
          <w:szCs w:val="32"/>
          <w:lang w:val="fr-CH"/>
        </w:rPr>
        <w:t xml:space="preserve">Les voitures hybrides remplacent les voitures à essence, l'activité des garages est florissante </w:t>
      </w:r>
    </w:p>
    <w:p w14:paraId="44DE5E4C" w14:textId="77777777" w:rsidR="00FE2270" w:rsidRPr="00615324" w:rsidRDefault="00FE2270" w:rsidP="00371B73">
      <w:pPr>
        <w:spacing w:line="240" w:lineRule="auto"/>
        <w:rPr>
          <w:lang w:val="fr-CH"/>
        </w:rPr>
      </w:pPr>
    </w:p>
    <w:p w14:paraId="7F372633" w14:textId="09A215E6" w:rsidR="009A71F5" w:rsidRDefault="00615324" w:rsidP="00A46922">
      <w:pPr>
        <w:spacing w:line="240" w:lineRule="auto"/>
        <w:rPr>
          <w:b/>
          <w:i/>
          <w:sz w:val="20"/>
          <w:szCs w:val="20"/>
          <w:lang w:val="fr-CH"/>
        </w:rPr>
      </w:pPr>
      <w:r w:rsidRPr="00615324">
        <w:rPr>
          <w:b/>
          <w:i/>
          <w:sz w:val="20"/>
          <w:szCs w:val="20"/>
          <w:lang w:val="fr-CH"/>
        </w:rPr>
        <w:t xml:space="preserve">Berne, le 11 novembre 2024 </w:t>
      </w:r>
      <w:r>
        <w:rPr>
          <w:b/>
          <w:i/>
          <w:sz w:val="20"/>
          <w:szCs w:val="20"/>
          <w:lang w:val="fr-CH"/>
        </w:rPr>
        <w:t>–</w:t>
      </w:r>
      <w:r w:rsidRPr="00615324">
        <w:rPr>
          <w:b/>
          <w:i/>
          <w:sz w:val="20"/>
          <w:szCs w:val="20"/>
          <w:lang w:val="fr-CH"/>
        </w:rPr>
        <w:t xml:space="preserve"> Après une nette reprise l'année dernière, le commerce automobile suisse se bat à nouveau contre une situation de marché plus difficile en 2024. Le nombre de véhicules neufs immatriculés est à nouveau en baisse. L'année prochaine, tant le marché des voitures neuves que celui des voitures d'occasion connaîtront à nouveau de légères impulsions. Il n'y aura pas d'effets de rattrapage importants. En revanche, les chiffres d'affaires dans le secteur des ateliers devraient continuer à augmenter.</w:t>
      </w:r>
    </w:p>
    <w:p w14:paraId="54D7A5B9" w14:textId="77777777" w:rsidR="00615324" w:rsidRPr="00615324" w:rsidRDefault="00615324" w:rsidP="00A46922">
      <w:pPr>
        <w:spacing w:line="240" w:lineRule="auto"/>
        <w:rPr>
          <w:rFonts w:cs="Arial"/>
          <w:szCs w:val="22"/>
          <w:lang w:val="fr-CH"/>
        </w:rPr>
      </w:pPr>
    </w:p>
    <w:p w14:paraId="1E45332B" w14:textId="4CC7565F" w:rsidR="00615324" w:rsidRPr="00615324" w:rsidRDefault="00615324" w:rsidP="00615324">
      <w:pPr>
        <w:jc w:val="both"/>
        <w:rPr>
          <w:sz w:val="20"/>
          <w:szCs w:val="22"/>
          <w:lang w:val="fr-CH"/>
        </w:rPr>
      </w:pPr>
      <w:r w:rsidRPr="00615324">
        <w:rPr>
          <w:sz w:val="20"/>
          <w:szCs w:val="22"/>
          <w:lang w:val="fr-CH"/>
        </w:rPr>
        <w:t>Alors que le marché des voitures neuves s'est fortement redressé en 2023, le climat de consommation encore timide se fait sentir cette année. Fin septembre, le nombre de nouvelles immatriculations était inférieur de 3,9</w:t>
      </w:r>
      <w:r>
        <w:rPr>
          <w:sz w:val="20"/>
          <w:szCs w:val="22"/>
          <w:lang w:val="fr-CH"/>
        </w:rPr>
        <w:t xml:space="preserve"> </w:t>
      </w:r>
      <w:r w:rsidRPr="00615324">
        <w:rPr>
          <w:sz w:val="20"/>
          <w:szCs w:val="22"/>
          <w:lang w:val="fr-CH"/>
        </w:rPr>
        <w:t>% à celui de l'année précédente. La demande de véhicules équipés d'un moteur à combustion classique a notamment nettement diminué. Parallèlement, le nombre de voitures hybrides (</w:t>
      </w:r>
      <w:proofErr w:type="spellStart"/>
      <w:r w:rsidRPr="00615324">
        <w:rPr>
          <w:sz w:val="20"/>
          <w:szCs w:val="22"/>
          <w:lang w:val="fr-CH"/>
        </w:rPr>
        <w:t>mild</w:t>
      </w:r>
      <w:proofErr w:type="spellEnd"/>
      <w:r w:rsidRPr="00615324">
        <w:rPr>
          <w:sz w:val="20"/>
          <w:szCs w:val="22"/>
          <w:lang w:val="fr-CH"/>
        </w:rPr>
        <w:t xml:space="preserve"> et full </w:t>
      </w:r>
      <w:proofErr w:type="spellStart"/>
      <w:r w:rsidRPr="00615324">
        <w:rPr>
          <w:sz w:val="20"/>
          <w:szCs w:val="22"/>
          <w:lang w:val="fr-CH"/>
        </w:rPr>
        <w:t>hybrid</w:t>
      </w:r>
      <w:proofErr w:type="spellEnd"/>
      <w:r w:rsidRPr="00615324">
        <w:rPr>
          <w:sz w:val="20"/>
          <w:szCs w:val="22"/>
          <w:lang w:val="fr-CH"/>
        </w:rPr>
        <w:t>) nouvellement immatriculées a augmenté. Elles remplacent ainsi les voitures à essence en tête du classement en termes de parts de marché des nouvelles immatriculations. Avec une part de marché de près de 33</w:t>
      </w:r>
      <w:r>
        <w:rPr>
          <w:sz w:val="20"/>
          <w:szCs w:val="22"/>
          <w:lang w:val="fr-CH"/>
        </w:rPr>
        <w:t xml:space="preserve"> </w:t>
      </w:r>
      <w:r w:rsidRPr="00615324">
        <w:rPr>
          <w:sz w:val="20"/>
          <w:szCs w:val="22"/>
          <w:lang w:val="fr-CH"/>
        </w:rPr>
        <w:t>%, elles sont clairement le groupe de véhicules le plus populaire, suivies par les voitures à essence avec 30</w:t>
      </w:r>
      <w:r>
        <w:rPr>
          <w:sz w:val="20"/>
          <w:szCs w:val="22"/>
          <w:lang w:val="fr-CH"/>
        </w:rPr>
        <w:t xml:space="preserve"> </w:t>
      </w:r>
      <w:r w:rsidRPr="00615324">
        <w:rPr>
          <w:sz w:val="20"/>
          <w:szCs w:val="22"/>
          <w:lang w:val="fr-CH"/>
        </w:rPr>
        <w:t>%. Les véhicules purement électriques (</w:t>
      </w:r>
      <w:r w:rsidR="00706F3E">
        <w:rPr>
          <w:sz w:val="20"/>
          <w:szCs w:val="22"/>
          <w:lang w:val="fr-CH"/>
        </w:rPr>
        <w:t>BEV</w:t>
      </w:r>
      <w:r w:rsidRPr="00615324">
        <w:rPr>
          <w:sz w:val="20"/>
          <w:szCs w:val="22"/>
          <w:lang w:val="fr-CH"/>
        </w:rPr>
        <w:t xml:space="preserve">) ont perdu des parts de marché et se situent à près de 19 </w:t>
      </w:r>
      <w:r>
        <w:rPr>
          <w:sz w:val="20"/>
          <w:szCs w:val="22"/>
          <w:lang w:val="fr-CH"/>
        </w:rPr>
        <w:t>%</w:t>
      </w:r>
      <w:r w:rsidRPr="00615324">
        <w:rPr>
          <w:sz w:val="20"/>
          <w:szCs w:val="22"/>
          <w:lang w:val="fr-CH"/>
        </w:rPr>
        <w:t xml:space="preserve">. La tendance des trois premiers trimestres se poursuivra au détriment des garagistes de l'UPSA au dernier trimestre, si bien que le nombre de véhicules neufs immatriculés, soit 243 000, restera nettement inférieur à celui de l'année précédente (-3,7 </w:t>
      </w:r>
      <w:r>
        <w:rPr>
          <w:sz w:val="20"/>
          <w:szCs w:val="22"/>
          <w:lang w:val="fr-CH"/>
        </w:rPr>
        <w:t>%</w:t>
      </w:r>
      <w:r w:rsidRPr="00615324">
        <w:rPr>
          <w:sz w:val="20"/>
          <w:szCs w:val="22"/>
          <w:lang w:val="fr-CH"/>
        </w:rPr>
        <w:t xml:space="preserve"> par rapport à 2023).  </w:t>
      </w:r>
    </w:p>
    <w:p w14:paraId="5FC8B29D" w14:textId="77777777" w:rsidR="00615324" w:rsidRPr="00615324" w:rsidRDefault="00615324" w:rsidP="00615324">
      <w:pPr>
        <w:jc w:val="both"/>
        <w:rPr>
          <w:sz w:val="20"/>
          <w:szCs w:val="22"/>
          <w:lang w:val="fr-CH"/>
        </w:rPr>
      </w:pPr>
    </w:p>
    <w:p w14:paraId="31792181" w14:textId="2F4959C6" w:rsidR="00615324" w:rsidRPr="00615324" w:rsidRDefault="00615324" w:rsidP="00615324">
      <w:pPr>
        <w:jc w:val="both"/>
        <w:rPr>
          <w:sz w:val="20"/>
          <w:szCs w:val="22"/>
          <w:lang w:val="fr-CH"/>
        </w:rPr>
      </w:pPr>
      <w:r w:rsidRPr="00615324">
        <w:rPr>
          <w:sz w:val="20"/>
          <w:szCs w:val="22"/>
          <w:lang w:val="fr-CH"/>
        </w:rPr>
        <w:t>Contrairement au marché des voitures neuves, le commerce des véhicules d'occasion enregistre une légère hausse cette année. Au total, fin septembre, 1,6</w:t>
      </w:r>
      <w:r>
        <w:rPr>
          <w:sz w:val="20"/>
          <w:szCs w:val="22"/>
          <w:lang w:val="fr-CH"/>
        </w:rPr>
        <w:t xml:space="preserve"> </w:t>
      </w:r>
      <w:r w:rsidRPr="00615324">
        <w:rPr>
          <w:sz w:val="20"/>
          <w:szCs w:val="22"/>
          <w:lang w:val="fr-CH"/>
        </w:rPr>
        <w:t>% de véhicules de plus qu'en 2023 ont changé de propriétaire. Ce bilan positif est entièrement dû aux véhicules à transmission alternative. En revanche, la demande de véhicules d'occasion dotés d'un moteur à combustion classique a clairement reculé. Néanmoins, le marché de l'occasion reste dominé par les véhicules thermiques classiques, qui représentent une part de marché combinée de plus de 85</w:t>
      </w:r>
      <w:r>
        <w:rPr>
          <w:sz w:val="20"/>
          <w:szCs w:val="22"/>
          <w:lang w:val="fr-CH"/>
        </w:rPr>
        <w:t xml:space="preserve"> </w:t>
      </w:r>
      <w:r w:rsidRPr="00615324">
        <w:rPr>
          <w:sz w:val="20"/>
          <w:szCs w:val="22"/>
          <w:lang w:val="fr-CH"/>
        </w:rPr>
        <w:t xml:space="preserve">%. Néanmoins, l'influence des transmissions alternatives, qui atteignent une part de marché de près de 10 </w:t>
      </w:r>
      <w:r>
        <w:rPr>
          <w:sz w:val="20"/>
          <w:szCs w:val="22"/>
          <w:lang w:val="fr-CH"/>
        </w:rPr>
        <w:t>%</w:t>
      </w:r>
      <w:r w:rsidRPr="00615324">
        <w:rPr>
          <w:sz w:val="20"/>
          <w:szCs w:val="22"/>
          <w:lang w:val="fr-CH"/>
        </w:rPr>
        <w:t xml:space="preserve">, ne cesse de croître. D'ici la fin de l'année, environ 768 000 véhicules au total devraient changer de propriétaire. </w:t>
      </w:r>
    </w:p>
    <w:p w14:paraId="0F071DFE" w14:textId="77777777" w:rsidR="00615324" w:rsidRPr="00615324" w:rsidRDefault="00615324" w:rsidP="00615324">
      <w:pPr>
        <w:jc w:val="both"/>
        <w:rPr>
          <w:sz w:val="20"/>
          <w:szCs w:val="22"/>
          <w:lang w:val="fr-CH"/>
        </w:rPr>
      </w:pPr>
    </w:p>
    <w:p w14:paraId="1F1661BB" w14:textId="77777777" w:rsidR="00615324" w:rsidRPr="00615324" w:rsidRDefault="00615324" w:rsidP="00615324">
      <w:pPr>
        <w:jc w:val="both"/>
        <w:rPr>
          <w:b/>
          <w:bCs/>
          <w:sz w:val="20"/>
          <w:szCs w:val="22"/>
          <w:lang w:val="fr-CH"/>
        </w:rPr>
      </w:pPr>
      <w:r w:rsidRPr="00615324">
        <w:rPr>
          <w:b/>
          <w:bCs/>
          <w:sz w:val="20"/>
          <w:szCs w:val="22"/>
          <w:lang w:val="fr-CH"/>
        </w:rPr>
        <w:t xml:space="preserve">Evolution réjouissante dans les ateliers </w:t>
      </w:r>
    </w:p>
    <w:p w14:paraId="38B00F36" w14:textId="77777777" w:rsidR="00615324" w:rsidRPr="00615324" w:rsidRDefault="00615324" w:rsidP="00615324">
      <w:pPr>
        <w:jc w:val="both"/>
        <w:rPr>
          <w:sz w:val="20"/>
          <w:szCs w:val="22"/>
          <w:lang w:val="fr-CH"/>
        </w:rPr>
      </w:pPr>
      <w:r w:rsidRPr="00615324">
        <w:rPr>
          <w:sz w:val="20"/>
          <w:szCs w:val="22"/>
          <w:lang w:val="fr-CH"/>
        </w:rPr>
        <w:t xml:space="preserve">BAK </w:t>
      </w:r>
      <w:proofErr w:type="spellStart"/>
      <w:r w:rsidRPr="00615324">
        <w:rPr>
          <w:sz w:val="20"/>
          <w:szCs w:val="22"/>
          <w:lang w:val="fr-CH"/>
        </w:rPr>
        <w:t>Economics</w:t>
      </w:r>
      <w:proofErr w:type="spellEnd"/>
      <w:r w:rsidRPr="00615324">
        <w:rPr>
          <w:sz w:val="20"/>
          <w:szCs w:val="22"/>
          <w:lang w:val="fr-CH"/>
        </w:rPr>
        <w:t xml:space="preserve"> prévoit un bilan positif pour l'année à venir, tant pour le marché des voitures neuves que pour celui des occasions. La poursuite de l'amélioration de la situation économique devrait permettre aux consommateurs de retrouver des perspectives plus optimistes. De plus, les prix des véhicules neufs et d'occasion continueront de baisser l'année prochaine. Il n'y aura cependant pas d'effet de rattrapage important après le faible nombre de nouvelles immatriculations et de changements de propriétaires de ces dernières années. Cela s'explique aussi par le fait que les consommateurs continuent de ressentir les conséquences des difficultés économiques et qu'ils devraient donc se montrer plutôt hésitants en 2025. </w:t>
      </w:r>
    </w:p>
    <w:p w14:paraId="55446102" w14:textId="77777777" w:rsidR="00615324" w:rsidRPr="00615324" w:rsidRDefault="00615324" w:rsidP="00615324">
      <w:pPr>
        <w:jc w:val="both"/>
        <w:rPr>
          <w:sz w:val="20"/>
          <w:szCs w:val="22"/>
          <w:lang w:val="fr-CH"/>
        </w:rPr>
      </w:pPr>
    </w:p>
    <w:p w14:paraId="3B4A7420" w14:textId="42345F9C" w:rsidR="00615324" w:rsidRPr="00615324" w:rsidRDefault="00615324" w:rsidP="00615324">
      <w:pPr>
        <w:jc w:val="both"/>
        <w:rPr>
          <w:sz w:val="20"/>
          <w:szCs w:val="22"/>
          <w:lang w:val="fr-CH"/>
        </w:rPr>
      </w:pPr>
      <w:r w:rsidRPr="00615324">
        <w:rPr>
          <w:sz w:val="20"/>
          <w:szCs w:val="22"/>
          <w:lang w:val="fr-CH"/>
        </w:rPr>
        <w:t xml:space="preserve">Pour le marché des voitures neuves, BAK </w:t>
      </w:r>
      <w:proofErr w:type="spellStart"/>
      <w:r w:rsidRPr="00615324">
        <w:rPr>
          <w:sz w:val="20"/>
          <w:szCs w:val="22"/>
          <w:lang w:val="fr-CH"/>
        </w:rPr>
        <w:t>Economics</w:t>
      </w:r>
      <w:proofErr w:type="spellEnd"/>
      <w:r w:rsidRPr="00615324">
        <w:rPr>
          <w:sz w:val="20"/>
          <w:szCs w:val="22"/>
          <w:lang w:val="fr-CH"/>
        </w:rPr>
        <w:t xml:space="preserve"> prévoit un nombre d'immatriculations d'environ 246</w:t>
      </w:r>
      <w:r w:rsidR="00706F3E">
        <w:rPr>
          <w:sz w:val="20"/>
          <w:szCs w:val="22"/>
          <w:lang w:val="fr-CH"/>
        </w:rPr>
        <w:t xml:space="preserve"> </w:t>
      </w:r>
      <w:r w:rsidRPr="00615324">
        <w:rPr>
          <w:sz w:val="20"/>
          <w:szCs w:val="22"/>
          <w:lang w:val="fr-CH"/>
        </w:rPr>
        <w:t xml:space="preserve">000 (+1,3 %). Sur le marché de l'occasion, environ 785 000 véhicules devraient changer de propriétaire (+2,2 </w:t>
      </w:r>
      <w:r>
        <w:rPr>
          <w:sz w:val="20"/>
          <w:szCs w:val="22"/>
          <w:lang w:val="fr-CH"/>
        </w:rPr>
        <w:t>%</w:t>
      </w:r>
      <w:r w:rsidRPr="00615324">
        <w:rPr>
          <w:sz w:val="20"/>
          <w:szCs w:val="22"/>
          <w:lang w:val="fr-CH"/>
        </w:rPr>
        <w:t xml:space="preserve">). La tendance vers les véhicules hybrides se poursuivra l'année prochaine </w:t>
      </w:r>
      <w:r w:rsidR="00706F3E">
        <w:rPr>
          <w:sz w:val="20"/>
          <w:szCs w:val="22"/>
          <w:lang w:val="fr-CH"/>
        </w:rPr>
        <w:t>–</w:t>
      </w:r>
      <w:r w:rsidRPr="00615324">
        <w:rPr>
          <w:sz w:val="20"/>
          <w:szCs w:val="22"/>
          <w:lang w:val="fr-CH"/>
        </w:rPr>
        <w:t xml:space="preserve"> les garages UPSA devraient en tout cas suivre cette évolution de près. En revanche, les véhicules purement électriques devraient </w:t>
      </w:r>
      <w:r w:rsidRPr="00615324">
        <w:rPr>
          <w:sz w:val="20"/>
          <w:szCs w:val="22"/>
          <w:lang w:val="fr-CH"/>
        </w:rPr>
        <w:lastRenderedPageBreak/>
        <w:t>continuer à être confrontés à une situation de marché difficile l'année prochaine, notamment en raison de leurs valeurs résiduelles actuellement plutôt basses.</w:t>
      </w:r>
    </w:p>
    <w:p w14:paraId="3255C6C5" w14:textId="77777777" w:rsidR="00615324" w:rsidRPr="00615324" w:rsidRDefault="00615324" w:rsidP="00615324">
      <w:pPr>
        <w:jc w:val="both"/>
        <w:rPr>
          <w:sz w:val="20"/>
          <w:szCs w:val="22"/>
          <w:lang w:val="fr-CH"/>
        </w:rPr>
      </w:pPr>
    </w:p>
    <w:p w14:paraId="0BE29042" w14:textId="1FB7308F" w:rsidR="005350B7" w:rsidRDefault="00615324" w:rsidP="00615324">
      <w:pPr>
        <w:jc w:val="both"/>
        <w:rPr>
          <w:sz w:val="20"/>
          <w:szCs w:val="22"/>
          <w:lang w:val="fr-CH"/>
        </w:rPr>
      </w:pPr>
      <w:r w:rsidRPr="00615324">
        <w:rPr>
          <w:sz w:val="20"/>
          <w:szCs w:val="22"/>
          <w:lang w:val="fr-CH"/>
        </w:rPr>
        <w:t xml:space="preserve">Du point de vue de l'UPSA, les prévisions pour les activités d'atelier sont réjouissantes : les chiffres d'affaires nominaux dans ce domaine devraient continuer à croître aussi bien l'année en cours que l'année prochaine. Les raisons en sont, d'une part, la bonne exploitation de la capacité dans les ateliers et, d'autre part, l'évolution des prix : comme les composantes de coûts pour les garagistes ont continué à augmenter cette année, cela a également entraîné une hausse des prix de facturation. BAK </w:t>
      </w:r>
      <w:proofErr w:type="spellStart"/>
      <w:r w:rsidRPr="00615324">
        <w:rPr>
          <w:sz w:val="20"/>
          <w:szCs w:val="22"/>
          <w:lang w:val="fr-CH"/>
        </w:rPr>
        <w:t>Economics</w:t>
      </w:r>
      <w:proofErr w:type="spellEnd"/>
      <w:r w:rsidRPr="00615324">
        <w:rPr>
          <w:sz w:val="20"/>
          <w:szCs w:val="22"/>
          <w:lang w:val="fr-CH"/>
        </w:rPr>
        <w:t xml:space="preserve"> prévoit donc une croissance du chiffre d'affaires de 1,4 % pour 2025.</w:t>
      </w:r>
    </w:p>
    <w:p w14:paraId="66D0B955" w14:textId="77777777" w:rsidR="00884957" w:rsidRDefault="00884957" w:rsidP="00615324">
      <w:pPr>
        <w:jc w:val="both"/>
        <w:rPr>
          <w:sz w:val="20"/>
          <w:szCs w:val="22"/>
          <w:lang w:val="fr-CH"/>
        </w:rPr>
      </w:pPr>
    </w:p>
    <w:p w14:paraId="1BA68711" w14:textId="03C68D07" w:rsidR="00884957" w:rsidRPr="00884957" w:rsidRDefault="00884957" w:rsidP="00615324">
      <w:pPr>
        <w:jc w:val="both"/>
        <w:rPr>
          <w:rFonts w:cs="Arial"/>
          <w:b/>
          <w:bCs/>
          <w:i/>
          <w:iCs/>
          <w:color w:val="0070C0"/>
          <w:sz w:val="18"/>
          <w:szCs w:val="18"/>
          <w:lang w:val="fr-CH"/>
        </w:rPr>
      </w:pPr>
      <w:r w:rsidRPr="00884957">
        <w:rPr>
          <w:rFonts w:cs="Arial"/>
          <w:b/>
          <w:bCs/>
          <w:i/>
          <w:iCs/>
          <w:color w:val="0070C0"/>
          <w:sz w:val="18"/>
          <w:szCs w:val="18"/>
          <w:lang w:val="fr-CH"/>
        </w:rPr>
        <w:t>Prévisions concernant l'évolution du chiffre d'affaires dans les ateliers</w:t>
      </w:r>
    </w:p>
    <w:p w14:paraId="7B7ABE29" w14:textId="1515DDBC" w:rsidR="005350B7" w:rsidRDefault="00884957" w:rsidP="005350B7">
      <w:pPr>
        <w:spacing w:line="240" w:lineRule="auto"/>
        <w:rPr>
          <w:rFonts w:cs="Arial"/>
          <w:b/>
          <w:bCs/>
          <w:i/>
          <w:iCs/>
          <w:sz w:val="20"/>
          <w:szCs w:val="20"/>
        </w:rPr>
      </w:pPr>
      <w:r>
        <w:rPr>
          <w:rFonts w:cs="Arial"/>
          <w:b/>
          <w:bCs/>
          <w:i/>
          <w:iCs/>
          <w:noProof/>
          <w:sz w:val="20"/>
          <w:szCs w:val="20"/>
        </w:rPr>
        <w:drawing>
          <wp:inline distT="0" distB="0" distL="0" distR="0" wp14:anchorId="79BF0B10" wp14:editId="7C703901">
            <wp:extent cx="4763589" cy="2295525"/>
            <wp:effectExtent l="0" t="0" r="0" b="0"/>
            <wp:docPr id="124468982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1984" cy="2299570"/>
                    </a:xfrm>
                    <a:prstGeom prst="rect">
                      <a:avLst/>
                    </a:prstGeom>
                    <a:noFill/>
                    <a:ln>
                      <a:noFill/>
                    </a:ln>
                  </pic:spPr>
                </pic:pic>
              </a:graphicData>
            </a:graphic>
          </wp:inline>
        </w:drawing>
      </w:r>
    </w:p>
    <w:p w14:paraId="2D957693" w14:textId="77777777" w:rsidR="005350B7" w:rsidRDefault="005350B7" w:rsidP="005350B7">
      <w:pPr>
        <w:spacing w:line="240" w:lineRule="auto"/>
        <w:rPr>
          <w:rFonts w:cs="Arial"/>
          <w:b/>
          <w:bCs/>
          <w:i/>
          <w:iCs/>
          <w:sz w:val="20"/>
          <w:szCs w:val="20"/>
        </w:rPr>
      </w:pPr>
    </w:p>
    <w:p w14:paraId="5AE68201" w14:textId="77777777" w:rsidR="005350B7" w:rsidRPr="00C34EA9" w:rsidRDefault="005350B7" w:rsidP="005350B7">
      <w:pPr>
        <w:pStyle w:val="Lauftextfett"/>
        <w:rPr>
          <w:rFonts w:ascii="Arial" w:hAnsi="Arial" w:cs="Arial"/>
          <w:sz w:val="18"/>
          <w:szCs w:val="16"/>
          <w:lang w:val="fr-CH"/>
        </w:rPr>
      </w:pPr>
      <w:r w:rsidRPr="00C34EA9">
        <w:rPr>
          <w:rFonts w:ascii="Arial" w:hAnsi="Arial" w:cs="Arial"/>
          <w:sz w:val="18"/>
          <w:szCs w:val="16"/>
          <w:lang w:val="fr-CH"/>
        </w:rPr>
        <w:t xml:space="preserve">BAK </w:t>
      </w:r>
      <w:proofErr w:type="spellStart"/>
      <w:r w:rsidRPr="00C34EA9">
        <w:rPr>
          <w:rFonts w:ascii="Arial" w:hAnsi="Arial" w:cs="Arial"/>
          <w:sz w:val="18"/>
          <w:szCs w:val="16"/>
          <w:lang w:val="fr-CH"/>
        </w:rPr>
        <w:t>Economics</w:t>
      </w:r>
      <w:proofErr w:type="spellEnd"/>
      <w:r w:rsidRPr="00C34EA9">
        <w:rPr>
          <w:rFonts w:ascii="Arial" w:hAnsi="Arial" w:cs="Arial"/>
          <w:sz w:val="18"/>
          <w:szCs w:val="16"/>
          <w:lang w:val="fr-CH"/>
        </w:rPr>
        <w:t xml:space="preserve"> AG</w:t>
      </w:r>
    </w:p>
    <w:p w14:paraId="5E4A13CD" w14:textId="4A7E5B0E" w:rsidR="005350B7" w:rsidRPr="00706F3E" w:rsidRDefault="00706F3E" w:rsidP="00706F3E">
      <w:pPr>
        <w:pStyle w:val="Lauftext"/>
        <w:jc w:val="both"/>
        <w:rPr>
          <w:rFonts w:ascii="Arial" w:hAnsi="Arial" w:cs="Arial"/>
          <w:sz w:val="20"/>
          <w:szCs w:val="16"/>
          <w:lang w:val="fr-CH"/>
        </w:rPr>
      </w:pPr>
      <w:r w:rsidRPr="00706F3E">
        <w:rPr>
          <w:rFonts w:ascii="Arial" w:hAnsi="Arial"/>
          <w:sz w:val="18"/>
          <w:szCs w:val="16"/>
          <w:lang w:val="fr-CH"/>
        </w:rPr>
        <w:t>BAK </w:t>
      </w:r>
      <w:proofErr w:type="spellStart"/>
      <w:r w:rsidRPr="00706F3E">
        <w:rPr>
          <w:rFonts w:ascii="Arial" w:hAnsi="Arial"/>
          <w:sz w:val="18"/>
          <w:szCs w:val="16"/>
          <w:lang w:val="fr-CH"/>
        </w:rPr>
        <w:t>Economics</w:t>
      </w:r>
      <w:proofErr w:type="spellEnd"/>
      <w:r w:rsidRPr="00706F3E">
        <w:rPr>
          <w:rFonts w:ascii="Arial" w:hAnsi="Arial"/>
          <w:sz w:val="18"/>
          <w:szCs w:val="16"/>
          <w:lang w:val="fr-CH"/>
        </w:rPr>
        <w:t xml:space="preserve"> AG est l’institut suisse indépendant de recherche économique. Il réalise des études économiques complètes sur mandat et met les résultats de ces études à la disposition de la politique, de l’économie et de la société. L’analyse des influences spécifiques à la branche fait partie intégrante des prestations proposées. BAK </w:t>
      </w:r>
      <w:proofErr w:type="spellStart"/>
      <w:r w:rsidRPr="00706F3E">
        <w:rPr>
          <w:rFonts w:ascii="Arial" w:hAnsi="Arial"/>
          <w:sz w:val="18"/>
          <w:szCs w:val="16"/>
          <w:lang w:val="fr-CH"/>
        </w:rPr>
        <w:t>Economics</w:t>
      </w:r>
      <w:proofErr w:type="spellEnd"/>
      <w:r w:rsidRPr="00706F3E">
        <w:rPr>
          <w:rFonts w:ascii="Arial" w:hAnsi="Arial"/>
          <w:sz w:val="18"/>
          <w:szCs w:val="16"/>
          <w:lang w:val="fr-CH"/>
        </w:rPr>
        <w:t xml:space="preserve"> établit dans ce contexte des pronostics spécifiques à la branche et des analyses des risques sectoriels ou étudie l’influence des tenants et aboutissants structurels et des conditions-cadres politico-économiques sur le développement de différents secteurs économiques. La vaste infrastructure des modèles et d’analyse sert aussi de point de départ pour des analyses approfondies de questions spécifiques à des entreprises données et le développement de solutions pour des entreprises.</w:t>
      </w:r>
      <w:r w:rsidRPr="00706F3E">
        <w:rPr>
          <w:rFonts w:ascii="Arial" w:hAnsi="Arial"/>
          <w:sz w:val="20"/>
          <w:szCs w:val="16"/>
          <w:lang w:val="fr-CH"/>
        </w:rPr>
        <w:t xml:space="preserve"> </w:t>
      </w:r>
    </w:p>
    <w:p w14:paraId="4390B8B7" w14:textId="396231FB" w:rsidR="00706F3E" w:rsidRPr="00706F3E" w:rsidRDefault="00706F3E" w:rsidP="00706F3E">
      <w:pPr>
        <w:spacing w:line="240" w:lineRule="auto"/>
        <w:rPr>
          <w:rFonts w:cs="Arial"/>
          <w:b/>
          <w:bCs/>
          <w:i/>
          <w:iCs/>
          <w:sz w:val="20"/>
          <w:szCs w:val="20"/>
          <w:lang w:val="fr-CH"/>
        </w:rPr>
      </w:pPr>
      <w:r w:rsidRPr="00706F3E">
        <w:rPr>
          <w:rFonts w:cs="Arial"/>
          <w:b/>
          <w:bCs/>
          <w:i/>
          <w:iCs/>
          <w:sz w:val="20"/>
          <w:szCs w:val="20"/>
          <w:lang w:val="fr-CH"/>
        </w:rPr>
        <w:t>Légende</w:t>
      </w:r>
      <w:r w:rsidR="00C34EA9">
        <w:rPr>
          <w:rFonts w:cs="Arial"/>
          <w:b/>
          <w:bCs/>
          <w:i/>
          <w:iCs/>
          <w:sz w:val="20"/>
          <w:szCs w:val="20"/>
          <w:lang w:val="fr-CH"/>
        </w:rPr>
        <w:t>s</w:t>
      </w:r>
      <w:r w:rsidRPr="00706F3E">
        <w:rPr>
          <w:rFonts w:cs="Arial"/>
          <w:b/>
          <w:bCs/>
          <w:i/>
          <w:iCs/>
          <w:sz w:val="20"/>
          <w:szCs w:val="20"/>
          <w:lang w:val="fr-CH"/>
        </w:rPr>
        <w:t xml:space="preserve"> de</w:t>
      </w:r>
      <w:r w:rsidR="00C34EA9">
        <w:rPr>
          <w:rFonts w:cs="Arial"/>
          <w:b/>
          <w:bCs/>
          <w:i/>
          <w:iCs/>
          <w:sz w:val="20"/>
          <w:szCs w:val="20"/>
          <w:lang w:val="fr-CH"/>
        </w:rPr>
        <w:t xml:space="preserve">s </w:t>
      </w:r>
      <w:r w:rsidRPr="00706F3E">
        <w:rPr>
          <w:rFonts w:cs="Arial"/>
          <w:b/>
          <w:bCs/>
          <w:i/>
          <w:iCs/>
          <w:sz w:val="20"/>
          <w:szCs w:val="20"/>
          <w:lang w:val="fr-CH"/>
        </w:rPr>
        <w:t>photo</w:t>
      </w:r>
      <w:r w:rsidR="00C34EA9">
        <w:rPr>
          <w:rFonts w:cs="Arial"/>
          <w:b/>
          <w:bCs/>
          <w:i/>
          <w:iCs/>
          <w:sz w:val="20"/>
          <w:szCs w:val="20"/>
          <w:lang w:val="fr-CH"/>
        </w:rPr>
        <w:t>s</w:t>
      </w:r>
      <w:r w:rsidRPr="00706F3E">
        <w:rPr>
          <w:rFonts w:cs="Arial"/>
          <w:b/>
          <w:bCs/>
          <w:i/>
          <w:iCs/>
          <w:sz w:val="20"/>
          <w:szCs w:val="20"/>
          <w:lang w:val="fr-CH"/>
        </w:rPr>
        <w:t xml:space="preserve"> </w:t>
      </w:r>
    </w:p>
    <w:p w14:paraId="220B187A" w14:textId="6A0D4B7F" w:rsidR="00706F3E" w:rsidRPr="00706F3E" w:rsidRDefault="00706F3E" w:rsidP="00706F3E">
      <w:pPr>
        <w:spacing w:line="240" w:lineRule="auto"/>
        <w:rPr>
          <w:rFonts w:cs="Arial"/>
          <w:i/>
          <w:iCs/>
          <w:sz w:val="20"/>
          <w:szCs w:val="20"/>
          <w:lang w:val="fr-CH"/>
        </w:rPr>
      </w:pPr>
      <w:r>
        <w:rPr>
          <w:rFonts w:cs="Arial"/>
          <w:i/>
          <w:iCs/>
          <w:sz w:val="20"/>
          <w:szCs w:val="20"/>
          <w:lang w:val="fr-CH"/>
        </w:rPr>
        <w:t>Photo 1</w:t>
      </w:r>
      <w:r w:rsidRPr="00706F3E">
        <w:rPr>
          <w:rFonts w:cs="Arial"/>
          <w:i/>
          <w:iCs/>
          <w:sz w:val="20"/>
          <w:szCs w:val="20"/>
          <w:lang w:val="fr-CH"/>
        </w:rPr>
        <w:t xml:space="preserve"> : En 2024, les voitures hybrides devanceront les voitures à essence en termes de nombre de nouvelles immatriculations. Source : </w:t>
      </w:r>
      <w:proofErr w:type="spellStart"/>
      <w:r>
        <w:rPr>
          <w:rFonts w:cs="Arial"/>
          <w:i/>
          <w:iCs/>
          <w:sz w:val="20"/>
          <w:szCs w:val="20"/>
          <w:lang w:val="fr-CH"/>
        </w:rPr>
        <w:t>màd</w:t>
      </w:r>
      <w:proofErr w:type="spellEnd"/>
    </w:p>
    <w:p w14:paraId="07D75F25" w14:textId="1EB6CB8D" w:rsidR="005350B7" w:rsidRPr="00C34EA9" w:rsidRDefault="00706F3E" w:rsidP="00706F3E">
      <w:pPr>
        <w:spacing w:line="240" w:lineRule="auto"/>
        <w:rPr>
          <w:rFonts w:cs="Arial"/>
          <w:i/>
          <w:iCs/>
          <w:sz w:val="20"/>
          <w:szCs w:val="20"/>
          <w:lang w:val="fr-CH"/>
        </w:rPr>
      </w:pPr>
      <w:r w:rsidRPr="00706F3E">
        <w:rPr>
          <w:rFonts w:cs="Arial"/>
          <w:i/>
          <w:iCs/>
          <w:sz w:val="20"/>
          <w:szCs w:val="20"/>
          <w:lang w:val="fr-CH"/>
        </w:rPr>
        <w:t xml:space="preserve">Photo 2 : Dans le secteur des garages, les chiffres d'affaires devraient continuer à croître l'année prochaine. </w:t>
      </w:r>
      <w:r w:rsidRPr="00C34EA9">
        <w:rPr>
          <w:rFonts w:cs="Arial"/>
          <w:i/>
          <w:iCs/>
          <w:sz w:val="20"/>
          <w:szCs w:val="20"/>
          <w:lang w:val="fr-CH"/>
        </w:rPr>
        <w:t xml:space="preserve">Source : </w:t>
      </w:r>
      <w:proofErr w:type="spellStart"/>
      <w:r w:rsidRPr="00C34EA9">
        <w:rPr>
          <w:rFonts w:cs="Arial"/>
          <w:i/>
          <w:iCs/>
          <w:sz w:val="20"/>
          <w:szCs w:val="20"/>
          <w:lang w:val="fr-CH"/>
        </w:rPr>
        <w:t>iStock</w:t>
      </w:r>
      <w:proofErr w:type="spellEnd"/>
      <w:r w:rsidRPr="00C34EA9">
        <w:rPr>
          <w:rFonts w:cs="Arial"/>
          <w:i/>
          <w:iCs/>
          <w:sz w:val="20"/>
          <w:szCs w:val="20"/>
          <w:lang w:val="fr-CH"/>
        </w:rPr>
        <w:t>.</w:t>
      </w:r>
    </w:p>
    <w:p w14:paraId="046A7364" w14:textId="77777777" w:rsidR="00706F3E" w:rsidRPr="00C34EA9" w:rsidRDefault="00706F3E" w:rsidP="00706F3E">
      <w:pPr>
        <w:spacing w:line="240" w:lineRule="auto"/>
        <w:rPr>
          <w:lang w:val="fr-CH"/>
        </w:rPr>
      </w:pPr>
    </w:p>
    <w:p w14:paraId="2E21DE7D" w14:textId="600AF99D" w:rsidR="005350B7" w:rsidRDefault="00706F3E" w:rsidP="005350B7">
      <w:pPr>
        <w:spacing w:line="240" w:lineRule="auto"/>
        <w:ind w:right="-114"/>
        <w:rPr>
          <w:b/>
          <w:i/>
          <w:iCs/>
          <w:color w:val="000000" w:themeColor="text1"/>
          <w:sz w:val="16"/>
          <w:szCs w:val="16"/>
          <w:lang w:val="fr-CH"/>
        </w:rPr>
      </w:pPr>
      <w:bookmarkStart w:id="2" w:name="OLE_LINK1"/>
      <w:bookmarkStart w:id="3" w:name="OLE_LINK2"/>
      <w:r w:rsidRPr="00706F3E">
        <w:rPr>
          <w:b/>
          <w:i/>
          <w:iCs/>
          <w:color w:val="000000" w:themeColor="text1"/>
          <w:sz w:val="16"/>
          <w:szCs w:val="16"/>
          <w:lang w:val="fr-CH"/>
        </w:rPr>
        <w:t xml:space="preserve">Pour de plus amples informations, </w:t>
      </w:r>
      <w:r w:rsidRPr="00706F3E">
        <w:rPr>
          <w:bCs/>
          <w:i/>
          <w:iCs/>
          <w:color w:val="000000" w:themeColor="text1"/>
          <w:sz w:val="16"/>
          <w:szCs w:val="16"/>
          <w:lang w:val="fr-CH"/>
        </w:rPr>
        <w:t xml:space="preserve">veuillez contacter Yves Schott, UPSA Communication &amp; Médias, téléphone 031 307 15 43, </w:t>
      </w:r>
      <w:proofErr w:type="gramStart"/>
      <w:r w:rsidRPr="00706F3E">
        <w:rPr>
          <w:bCs/>
          <w:i/>
          <w:iCs/>
          <w:color w:val="000000" w:themeColor="text1"/>
          <w:sz w:val="16"/>
          <w:szCs w:val="16"/>
          <w:lang w:val="fr-CH"/>
        </w:rPr>
        <w:t>e-mail</w:t>
      </w:r>
      <w:proofErr w:type="gramEnd"/>
      <w:r w:rsidRPr="00706F3E">
        <w:rPr>
          <w:bCs/>
          <w:i/>
          <w:iCs/>
          <w:color w:val="000000" w:themeColor="text1"/>
          <w:sz w:val="16"/>
          <w:szCs w:val="16"/>
          <w:lang w:val="fr-CH"/>
        </w:rPr>
        <w:t xml:space="preserve"> </w:t>
      </w:r>
      <w:hyperlink r:id="rId9" w:history="1">
        <w:r w:rsidRPr="00706F3E">
          <w:rPr>
            <w:rStyle w:val="Hyperlink"/>
            <w:bCs/>
            <w:i/>
            <w:iCs/>
            <w:sz w:val="16"/>
            <w:szCs w:val="16"/>
            <w:lang w:val="fr-CH"/>
          </w:rPr>
          <w:t>yves.schott@agvs-upsa.ch</w:t>
        </w:r>
      </w:hyperlink>
      <w:r w:rsidRPr="00706F3E">
        <w:rPr>
          <w:bCs/>
          <w:i/>
          <w:iCs/>
          <w:color w:val="000000" w:themeColor="text1"/>
          <w:sz w:val="16"/>
          <w:szCs w:val="16"/>
          <w:lang w:val="fr-CH"/>
        </w:rPr>
        <w:t>.</w:t>
      </w:r>
    </w:p>
    <w:p w14:paraId="0B427AC7" w14:textId="77777777" w:rsidR="00706F3E" w:rsidRPr="00706F3E" w:rsidRDefault="00706F3E" w:rsidP="005350B7">
      <w:pPr>
        <w:spacing w:line="240" w:lineRule="auto"/>
        <w:ind w:right="-114"/>
        <w:rPr>
          <w:i/>
          <w:color w:val="000000"/>
          <w:sz w:val="16"/>
          <w:szCs w:val="16"/>
          <w:lang w:val="fr-CH"/>
        </w:rPr>
      </w:pPr>
    </w:p>
    <w:bookmarkEnd w:id="2"/>
    <w:bookmarkEnd w:id="3"/>
    <w:p w14:paraId="76FA3E94" w14:textId="77777777" w:rsidR="00615324" w:rsidRPr="009628AE" w:rsidRDefault="00615324" w:rsidP="00615324">
      <w:pPr>
        <w:spacing w:line="180" w:lineRule="atLeast"/>
        <w:rPr>
          <w:rFonts w:cs="Arial"/>
          <w:b/>
          <w:i/>
          <w:iCs/>
          <w:sz w:val="16"/>
          <w:szCs w:val="16"/>
          <w:lang w:val="fr-CH"/>
        </w:rPr>
      </w:pPr>
      <w:r w:rsidRPr="009628AE">
        <w:rPr>
          <w:rFonts w:cs="Arial"/>
          <w:b/>
          <w:i/>
          <w:iCs/>
          <w:sz w:val="16"/>
          <w:szCs w:val="16"/>
          <w:lang w:val="fr-CH"/>
        </w:rPr>
        <w:t>L'Union professionnelle suisse de l'automobile (UPSA)</w:t>
      </w:r>
    </w:p>
    <w:p w14:paraId="7CC55B65" w14:textId="7F6E5F21" w:rsidR="00497027" w:rsidRPr="00706F3E" w:rsidRDefault="00615324" w:rsidP="00706F3E">
      <w:pPr>
        <w:spacing w:line="180" w:lineRule="atLeast"/>
        <w:rPr>
          <w:rFonts w:cs="Arial"/>
          <w:i/>
          <w:iCs/>
          <w:sz w:val="16"/>
          <w:szCs w:val="16"/>
          <w:lang w:val="fr-CH"/>
        </w:rPr>
      </w:pPr>
      <w:r w:rsidRPr="009628AE">
        <w:rPr>
          <w:i/>
          <w:iCs/>
          <w:sz w:val="16"/>
          <w:szCs w:val="16"/>
          <w:lang w:val="fr-CH"/>
        </w:rPr>
        <w:t>La branche automobile suisse est finement structurée : fondée en 1927, l'UPSA est aujourd'hui l'association professionnelle et sectorielle des garagistes suisses, à laquelle sont affiliées quelque 4000 petites, moyennes et grandes entreprises, agences de marque et entreprises indépendantes. Les 39 000 collaborateurs des entreprises de l'UPSA</w:t>
      </w:r>
      <w:r>
        <w:rPr>
          <w:i/>
          <w:iCs/>
          <w:sz w:val="16"/>
          <w:szCs w:val="16"/>
          <w:lang w:val="fr-CH"/>
        </w:rPr>
        <w:t xml:space="preserve"> – </w:t>
      </w:r>
      <w:r w:rsidRPr="009628AE">
        <w:rPr>
          <w:i/>
          <w:iCs/>
          <w:sz w:val="16"/>
          <w:szCs w:val="16"/>
          <w:lang w:val="fr-CH"/>
        </w:rPr>
        <w:t>dont 9000 jeunes en formation initiale et continue</w:t>
      </w:r>
      <w:r>
        <w:rPr>
          <w:i/>
          <w:iCs/>
          <w:sz w:val="16"/>
          <w:szCs w:val="16"/>
          <w:lang w:val="fr-CH"/>
        </w:rPr>
        <w:t xml:space="preserve"> – </w:t>
      </w:r>
      <w:r w:rsidRPr="009628AE">
        <w:rPr>
          <w:i/>
          <w:iCs/>
          <w:sz w:val="16"/>
          <w:szCs w:val="16"/>
          <w:lang w:val="fr-CH"/>
        </w:rPr>
        <w:t>vendent, entretiennent et réparent la majeure partie du parc automobile suisse, soit environ 6 millions de véhicules.</w:t>
      </w:r>
      <w:r>
        <w:rPr>
          <w:i/>
          <w:iCs/>
          <w:sz w:val="16"/>
          <w:szCs w:val="16"/>
          <w:lang w:val="fr-CH"/>
        </w:rPr>
        <w:t xml:space="preserve"> </w:t>
      </w:r>
      <w:r w:rsidR="00371B73" w:rsidRPr="00D444DE">
        <w:rPr>
          <w:b/>
          <w:bCs/>
          <w:noProof/>
          <w:sz w:val="16"/>
          <w:szCs w:val="16"/>
        </w:rPr>
        <w:drawing>
          <wp:anchor distT="0" distB="0" distL="114300" distR="114300" simplePos="0" relativeHeight="251660288" behindDoc="0" locked="0" layoutInCell="1" allowOverlap="1" wp14:anchorId="497600F0" wp14:editId="54567E48">
            <wp:simplePos x="0" y="0"/>
            <wp:positionH relativeFrom="column">
              <wp:posOffset>4152265</wp:posOffset>
            </wp:positionH>
            <wp:positionV relativeFrom="page">
              <wp:posOffset>10086975</wp:posOffset>
            </wp:positionV>
            <wp:extent cx="1791335" cy="413385"/>
            <wp:effectExtent l="0" t="0" r="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p>
    <w:sectPr w:rsidR="00497027" w:rsidRPr="00706F3E" w:rsidSect="00DC1198">
      <w:footerReference w:type="default" r:id="rId11"/>
      <w:headerReference w:type="first" r:id="rId12"/>
      <w:footerReference w:type="first" r:id="rId13"/>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1A333" w14:textId="77777777" w:rsidR="00D8152D" w:rsidRDefault="00D8152D">
      <w:pPr>
        <w:spacing w:line="240" w:lineRule="auto"/>
      </w:pPr>
      <w:r>
        <w:separator/>
      </w:r>
    </w:p>
  </w:endnote>
  <w:endnote w:type="continuationSeparator" w:id="0">
    <w:p w14:paraId="572D86E2" w14:textId="77777777" w:rsidR="00D8152D" w:rsidRDefault="00D81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5764"/>
      <w:gridCol w:w="3762"/>
    </w:tblGrid>
    <w:tr w:rsidR="00FE69E4" w14:paraId="2F0D61E6" w14:textId="77777777">
      <w:trPr>
        <w:trHeight w:val="160"/>
      </w:trPr>
      <w:tc>
        <w:tcPr>
          <w:tcW w:w="6067" w:type="dxa"/>
          <w:vAlign w:val="bottom"/>
        </w:tcPr>
        <w:p w14:paraId="08BD50F7" w14:textId="77777777" w:rsidR="00C71037" w:rsidRDefault="00333F7F">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tc>
      <w:tc>
        <w:tcPr>
          <w:tcW w:w="3969" w:type="dxa"/>
        </w:tcPr>
        <w:p w14:paraId="61D7CE2C" w14:textId="77777777" w:rsidR="00C71037" w:rsidRDefault="00C71037">
          <w:pPr>
            <w:pStyle w:val="Speicherpfad6pt"/>
            <w:rPr>
              <w:lang w:val="en-GB"/>
            </w:rPr>
          </w:pPr>
        </w:p>
      </w:tc>
    </w:tr>
  </w:tbl>
  <w:p w14:paraId="2F718E52" w14:textId="77777777" w:rsidR="00C71037" w:rsidRDefault="00C7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5AC8" w14:textId="77777777" w:rsidR="00C71037" w:rsidRDefault="00C71037" w:rsidP="000635E0">
    <w:pPr>
      <w:pStyle w:val="Logo"/>
    </w:pPr>
  </w:p>
  <w:p w14:paraId="534EB19A" w14:textId="77777777" w:rsidR="00C71037" w:rsidRDefault="00C71037"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A2EDF" w14:textId="77777777" w:rsidR="00D8152D" w:rsidRDefault="00D8152D">
      <w:pPr>
        <w:spacing w:line="240" w:lineRule="auto"/>
      </w:pPr>
      <w:r>
        <w:separator/>
      </w:r>
    </w:p>
  </w:footnote>
  <w:footnote w:type="continuationSeparator" w:id="0">
    <w:p w14:paraId="18E016D5" w14:textId="77777777" w:rsidR="00D8152D" w:rsidRDefault="00D815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8149" w14:textId="77777777" w:rsidR="00C71037" w:rsidRDefault="00333F7F">
    <w:pPr>
      <w:pStyle w:val="Kopfzeile"/>
    </w:pPr>
    <w:r>
      <w:rPr>
        <w:noProof/>
      </w:rPr>
      <w:drawing>
        <wp:anchor distT="0" distB="0" distL="114300" distR="114300" simplePos="0" relativeHeight="251659264" behindDoc="0" locked="1" layoutInCell="1" allowOverlap="1" wp14:anchorId="5DA539A3" wp14:editId="26A10E0A">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66B9B"/>
    <w:multiLevelType w:val="hybridMultilevel"/>
    <w:tmpl w:val="DA72BFB8"/>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 w15:restartNumberingAfterBreak="0">
    <w:nsid w:val="3FEE46E0"/>
    <w:multiLevelType w:val="hybridMultilevel"/>
    <w:tmpl w:val="A008F5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C916E29"/>
    <w:multiLevelType w:val="hybridMultilevel"/>
    <w:tmpl w:val="FA9CD8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E69362E"/>
    <w:multiLevelType w:val="hybridMultilevel"/>
    <w:tmpl w:val="78085B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8372B71"/>
    <w:multiLevelType w:val="hybridMultilevel"/>
    <w:tmpl w:val="596AC7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20713139">
    <w:abstractNumId w:val="3"/>
  </w:num>
  <w:num w:numId="2" w16cid:durableId="1567378029">
    <w:abstractNumId w:val="4"/>
  </w:num>
  <w:num w:numId="3" w16cid:durableId="30812500">
    <w:abstractNumId w:val="1"/>
  </w:num>
  <w:num w:numId="4" w16cid:durableId="1153910381">
    <w:abstractNumId w:val="0"/>
  </w:num>
  <w:num w:numId="5" w16cid:durableId="1757243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73"/>
    <w:rsid w:val="00000384"/>
    <w:rsid w:val="00021BC1"/>
    <w:rsid w:val="00024DF8"/>
    <w:rsid w:val="00033075"/>
    <w:rsid w:val="00040535"/>
    <w:rsid w:val="00041845"/>
    <w:rsid w:val="00042F1F"/>
    <w:rsid w:val="00054995"/>
    <w:rsid w:val="00074120"/>
    <w:rsid w:val="000857EE"/>
    <w:rsid w:val="0009280B"/>
    <w:rsid w:val="000A1CBC"/>
    <w:rsid w:val="000B5638"/>
    <w:rsid w:val="000C59A1"/>
    <w:rsid w:val="000C76AF"/>
    <w:rsid w:val="000D0C74"/>
    <w:rsid w:val="000D226C"/>
    <w:rsid w:val="000D4821"/>
    <w:rsid w:val="000E0B7F"/>
    <w:rsid w:val="000E1AA4"/>
    <w:rsid w:val="000F6E63"/>
    <w:rsid w:val="0010068C"/>
    <w:rsid w:val="0010438B"/>
    <w:rsid w:val="0011027D"/>
    <w:rsid w:val="00120452"/>
    <w:rsid w:val="00121000"/>
    <w:rsid w:val="0012379C"/>
    <w:rsid w:val="001258B1"/>
    <w:rsid w:val="0013472D"/>
    <w:rsid w:val="001438B1"/>
    <w:rsid w:val="00154579"/>
    <w:rsid w:val="00172763"/>
    <w:rsid w:val="00177260"/>
    <w:rsid w:val="00185A91"/>
    <w:rsid w:val="00195564"/>
    <w:rsid w:val="0019578B"/>
    <w:rsid w:val="001A6991"/>
    <w:rsid w:val="001B1A4C"/>
    <w:rsid w:val="001B302F"/>
    <w:rsid w:val="001B670D"/>
    <w:rsid w:val="001C08DA"/>
    <w:rsid w:val="001C2583"/>
    <w:rsid w:val="001D2A50"/>
    <w:rsid w:val="001D3663"/>
    <w:rsid w:val="001D78D4"/>
    <w:rsid w:val="001E6A93"/>
    <w:rsid w:val="00204498"/>
    <w:rsid w:val="00213747"/>
    <w:rsid w:val="00231423"/>
    <w:rsid w:val="00231EA4"/>
    <w:rsid w:val="002422B5"/>
    <w:rsid w:val="00242953"/>
    <w:rsid w:val="0024728B"/>
    <w:rsid w:val="0025121B"/>
    <w:rsid w:val="002541CA"/>
    <w:rsid w:val="00257F97"/>
    <w:rsid w:val="00262754"/>
    <w:rsid w:val="00262C17"/>
    <w:rsid w:val="00274800"/>
    <w:rsid w:val="0027534D"/>
    <w:rsid w:val="00280BA4"/>
    <w:rsid w:val="00284B4D"/>
    <w:rsid w:val="00285B64"/>
    <w:rsid w:val="0028643B"/>
    <w:rsid w:val="002A22F9"/>
    <w:rsid w:val="002A28DF"/>
    <w:rsid w:val="002A5385"/>
    <w:rsid w:val="002A550C"/>
    <w:rsid w:val="002D1CA5"/>
    <w:rsid w:val="002E3EB6"/>
    <w:rsid w:val="002F11F8"/>
    <w:rsid w:val="003016F3"/>
    <w:rsid w:val="003123BC"/>
    <w:rsid w:val="003176A1"/>
    <w:rsid w:val="00320939"/>
    <w:rsid w:val="00325894"/>
    <w:rsid w:val="00332009"/>
    <w:rsid w:val="00333277"/>
    <w:rsid w:val="00333F7F"/>
    <w:rsid w:val="003360D0"/>
    <w:rsid w:val="00341DDF"/>
    <w:rsid w:val="003437FC"/>
    <w:rsid w:val="00353C4C"/>
    <w:rsid w:val="00363ACD"/>
    <w:rsid w:val="00366713"/>
    <w:rsid w:val="00371B73"/>
    <w:rsid w:val="00383190"/>
    <w:rsid w:val="00391195"/>
    <w:rsid w:val="00392986"/>
    <w:rsid w:val="00395668"/>
    <w:rsid w:val="003A4277"/>
    <w:rsid w:val="003B5879"/>
    <w:rsid w:val="003C38A1"/>
    <w:rsid w:val="003D5E35"/>
    <w:rsid w:val="003D7FC6"/>
    <w:rsid w:val="003E4E2D"/>
    <w:rsid w:val="003F0A32"/>
    <w:rsid w:val="003F108F"/>
    <w:rsid w:val="0040037E"/>
    <w:rsid w:val="00401445"/>
    <w:rsid w:val="0041696B"/>
    <w:rsid w:val="004251B5"/>
    <w:rsid w:val="004374F2"/>
    <w:rsid w:val="00437E80"/>
    <w:rsid w:val="00443CF4"/>
    <w:rsid w:val="004526E0"/>
    <w:rsid w:val="00457946"/>
    <w:rsid w:val="00474270"/>
    <w:rsid w:val="00484998"/>
    <w:rsid w:val="00491BA0"/>
    <w:rsid w:val="00491F1A"/>
    <w:rsid w:val="004933FB"/>
    <w:rsid w:val="00497027"/>
    <w:rsid w:val="004B2014"/>
    <w:rsid w:val="004C0D89"/>
    <w:rsid w:val="004F1A40"/>
    <w:rsid w:val="004F59CF"/>
    <w:rsid w:val="00513D87"/>
    <w:rsid w:val="00513E04"/>
    <w:rsid w:val="00513E5E"/>
    <w:rsid w:val="00524AF9"/>
    <w:rsid w:val="00527B94"/>
    <w:rsid w:val="005350B7"/>
    <w:rsid w:val="00540366"/>
    <w:rsid w:val="0056116A"/>
    <w:rsid w:val="005620AD"/>
    <w:rsid w:val="00570674"/>
    <w:rsid w:val="0059111F"/>
    <w:rsid w:val="0059439C"/>
    <w:rsid w:val="005945AF"/>
    <w:rsid w:val="005A22AE"/>
    <w:rsid w:val="005D01F5"/>
    <w:rsid w:val="005D4EF6"/>
    <w:rsid w:val="005D5A0E"/>
    <w:rsid w:val="005E0139"/>
    <w:rsid w:val="005E62B4"/>
    <w:rsid w:val="005E7FDD"/>
    <w:rsid w:val="00603F0E"/>
    <w:rsid w:val="00613E27"/>
    <w:rsid w:val="006140FA"/>
    <w:rsid w:val="00615324"/>
    <w:rsid w:val="00625D73"/>
    <w:rsid w:val="00653344"/>
    <w:rsid w:val="006546B6"/>
    <w:rsid w:val="00657456"/>
    <w:rsid w:val="0066161E"/>
    <w:rsid w:val="00662D52"/>
    <w:rsid w:val="00673D73"/>
    <w:rsid w:val="00695041"/>
    <w:rsid w:val="0069583F"/>
    <w:rsid w:val="006A08A0"/>
    <w:rsid w:val="006A7AF9"/>
    <w:rsid w:val="006B3305"/>
    <w:rsid w:val="006C4B61"/>
    <w:rsid w:val="006D1388"/>
    <w:rsid w:val="006D2771"/>
    <w:rsid w:val="006D47B6"/>
    <w:rsid w:val="006D4994"/>
    <w:rsid w:val="006D4C1C"/>
    <w:rsid w:val="006E2A1B"/>
    <w:rsid w:val="006F47F5"/>
    <w:rsid w:val="006F4DC4"/>
    <w:rsid w:val="00706F3E"/>
    <w:rsid w:val="00707E97"/>
    <w:rsid w:val="007344B1"/>
    <w:rsid w:val="00744520"/>
    <w:rsid w:val="007500B8"/>
    <w:rsid w:val="00752625"/>
    <w:rsid w:val="00753E68"/>
    <w:rsid w:val="0077147E"/>
    <w:rsid w:val="00773209"/>
    <w:rsid w:val="007748D8"/>
    <w:rsid w:val="007755C2"/>
    <w:rsid w:val="0078725F"/>
    <w:rsid w:val="00790FC9"/>
    <w:rsid w:val="00791D34"/>
    <w:rsid w:val="007926AA"/>
    <w:rsid w:val="007A1783"/>
    <w:rsid w:val="007A17BE"/>
    <w:rsid w:val="007B459F"/>
    <w:rsid w:val="007C054C"/>
    <w:rsid w:val="007C74FD"/>
    <w:rsid w:val="007D6FB1"/>
    <w:rsid w:val="007E42EE"/>
    <w:rsid w:val="007E4916"/>
    <w:rsid w:val="007E690E"/>
    <w:rsid w:val="007F4B11"/>
    <w:rsid w:val="007F6B07"/>
    <w:rsid w:val="008349A2"/>
    <w:rsid w:val="00841253"/>
    <w:rsid w:val="00843AE1"/>
    <w:rsid w:val="00854548"/>
    <w:rsid w:val="00856CF8"/>
    <w:rsid w:val="00864921"/>
    <w:rsid w:val="0086537F"/>
    <w:rsid w:val="008658BC"/>
    <w:rsid w:val="00873DB9"/>
    <w:rsid w:val="00884957"/>
    <w:rsid w:val="00887EC3"/>
    <w:rsid w:val="00891CA0"/>
    <w:rsid w:val="008923FF"/>
    <w:rsid w:val="008A5422"/>
    <w:rsid w:val="008A73B6"/>
    <w:rsid w:val="008B0049"/>
    <w:rsid w:val="008B15AB"/>
    <w:rsid w:val="008B5EA8"/>
    <w:rsid w:val="008C0B6A"/>
    <w:rsid w:val="008C11EB"/>
    <w:rsid w:val="008C1E68"/>
    <w:rsid w:val="008D1235"/>
    <w:rsid w:val="008E0603"/>
    <w:rsid w:val="008E0D5B"/>
    <w:rsid w:val="008E76FB"/>
    <w:rsid w:val="008F03CF"/>
    <w:rsid w:val="0092012F"/>
    <w:rsid w:val="0092240D"/>
    <w:rsid w:val="009240AC"/>
    <w:rsid w:val="00935F11"/>
    <w:rsid w:val="00941F97"/>
    <w:rsid w:val="00945B96"/>
    <w:rsid w:val="00952DC3"/>
    <w:rsid w:val="00954369"/>
    <w:rsid w:val="009611FE"/>
    <w:rsid w:val="00964F2E"/>
    <w:rsid w:val="00974C5F"/>
    <w:rsid w:val="009947E6"/>
    <w:rsid w:val="0099522A"/>
    <w:rsid w:val="0099606A"/>
    <w:rsid w:val="00996FF7"/>
    <w:rsid w:val="009974CC"/>
    <w:rsid w:val="009A360F"/>
    <w:rsid w:val="009A71F5"/>
    <w:rsid w:val="009B312B"/>
    <w:rsid w:val="009C71E3"/>
    <w:rsid w:val="00A0627C"/>
    <w:rsid w:val="00A15D39"/>
    <w:rsid w:val="00A338C4"/>
    <w:rsid w:val="00A33AA4"/>
    <w:rsid w:val="00A374FF"/>
    <w:rsid w:val="00A40E0C"/>
    <w:rsid w:val="00A426EF"/>
    <w:rsid w:val="00A43705"/>
    <w:rsid w:val="00A46922"/>
    <w:rsid w:val="00A63803"/>
    <w:rsid w:val="00A773F3"/>
    <w:rsid w:val="00A84FFD"/>
    <w:rsid w:val="00A96103"/>
    <w:rsid w:val="00AA76DB"/>
    <w:rsid w:val="00AB5EB0"/>
    <w:rsid w:val="00AB7F75"/>
    <w:rsid w:val="00AC241F"/>
    <w:rsid w:val="00AC33C9"/>
    <w:rsid w:val="00AD0F96"/>
    <w:rsid w:val="00AD6825"/>
    <w:rsid w:val="00AE07D6"/>
    <w:rsid w:val="00AE0DBF"/>
    <w:rsid w:val="00AE4013"/>
    <w:rsid w:val="00AE77A0"/>
    <w:rsid w:val="00AF5AAB"/>
    <w:rsid w:val="00B07F6C"/>
    <w:rsid w:val="00B1141C"/>
    <w:rsid w:val="00B1199C"/>
    <w:rsid w:val="00B137C0"/>
    <w:rsid w:val="00B13D91"/>
    <w:rsid w:val="00B140D1"/>
    <w:rsid w:val="00B230AE"/>
    <w:rsid w:val="00B25641"/>
    <w:rsid w:val="00B25D20"/>
    <w:rsid w:val="00B31E80"/>
    <w:rsid w:val="00B506AB"/>
    <w:rsid w:val="00B606A8"/>
    <w:rsid w:val="00B60C1F"/>
    <w:rsid w:val="00B61251"/>
    <w:rsid w:val="00B645D9"/>
    <w:rsid w:val="00B64D57"/>
    <w:rsid w:val="00B65B84"/>
    <w:rsid w:val="00B926CD"/>
    <w:rsid w:val="00B92B15"/>
    <w:rsid w:val="00B95A86"/>
    <w:rsid w:val="00BA696C"/>
    <w:rsid w:val="00BE0CB1"/>
    <w:rsid w:val="00BE0DEC"/>
    <w:rsid w:val="00BE71C3"/>
    <w:rsid w:val="00BF363D"/>
    <w:rsid w:val="00C06FD5"/>
    <w:rsid w:val="00C0789F"/>
    <w:rsid w:val="00C10627"/>
    <w:rsid w:val="00C2015B"/>
    <w:rsid w:val="00C212FF"/>
    <w:rsid w:val="00C279C9"/>
    <w:rsid w:val="00C34EA9"/>
    <w:rsid w:val="00C46453"/>
    <w:rsid w:val="00C558DD"/>
    <w:rsid w:val="00C65724"/>
    <w:rsid w:val="00C71037"/>
    <w:rsid w:val="00C74DE5"/>
    <w:rsid w:val="00C81200"/>
    <w:rsid w:val="00C90C62"/>
    <w:rsid w:val="00CA4C64"/>
    <w:rsid w:val="00CA723E"/>
    <w:rsid w:val="00CD256A"/>
    <w:rsid w:val="00CD2D68"/>
    <w:rsid w:val="00CD3358"/>
    <w:rsid w:val="00CD345E"/>
    <w:rsid w:val="00CE4BCC"/>
    <w:rsid w:val="00D1015D"/>
    <w:rsid w:val="00D25143"/>
    <w:rsid w:val="00D32AF2"/>
    <w:rsid w:val="00D3589A"/>
    <w:rsid w:val="00D450FB"/>
    <w:rsid w:val="00D522E1"/>
    <w:rsid w:val="00D60C40"/>
    <w:rsid w:val="00D63264"/>
    <w:rsid w:val="00D7286B"/>
    <w:rsid w:val="00D8152D"/>
    <w:rsid w:val="00D8592C"/>
    <w:rsid w:val="00D85C3A"/>
    <w:rsid w:val="00D94F99"/>
    <w:rsid w:val="00D97451"/>
    <w:rsid w:val="00DA75AC"/>
    <w:rsid w:val="00DB35BB"/>
    <w:rsid w:val="00DB63F6"/>
    <w:rsid w:val="00DC007A"/>
    <w:rsid w:val="00DC2100"/>
    <w:rsid w:val="00DC2439"/>
    <w:rsid w:val="00DC5F0C"/>
    <w:rsid w:val="00DC742A"/>
    <w:rsid w:val="00DD6081"/>
    <w:rsid w:val="00DE5EA9"/>
    <w:rsid w:val="00DF1259"/>
    <w:rsid w:val="00DF41E8"/>
    <w:rsid w:val="00E11CD9"/>
    <w:rsid w:val="00E12429"/>
    <w:rsid w:val="00E30567"/>
    <w:rsid w:val="00E321CA"/>
    <w:rsid w:val="00E40D8D"/>
    <w:rsid w:val="00E471B0"/>
    <w:rsid w:val="00E50E96"/>
    <w:rsid w:val="00E52712"/>
    <w:rsid w:val="00E52A04"/>
    <w:rsid w:val="00E5718A"/>
    <w:rsid w:val="00E60B2E"/>
    <w:rsid w:val="00E60E96"/>
    <w:rsid w:val="00E67BE9"/>
    <w:rsid w:val="00E7326F"/>
    <w:rsid w:val="00E77A56"/>
    <w:rsid w:val="00E831EB"/>
    <w:rsid w:val="00E86099"/>
    <w:rsid w:val="00E86BF0"/>
    <w:rsid w:val="00E873A9"/>
    <w:rsid w:val="00EB122F"/>
    <w:rsid w:val="00EB5379"/>
    <w:rsid w:val="00EC5B1A"/>
    <w:rsid w:val="00EC7679"/>
    <w:rsid w:val="00ED1FEC"/>
    <w:rsid w:val="00ED438B"/>
    <w:rsid w:val="00EE2297"/>
    <w:rsid w:val="00EE4704"/>
    <w:rsid w:val="00EF04B3"/>
    <w:rsid w:val="00EF0775"/>
    <w:rsid w:val="00EF169D"/>
    <w:rsid w:val="00EF4CD6"/>
    <w:rsid w:val="00F1339B"/>
    <w:rsid w:val="00F1661D"/>
    <w:rsid w:val="00F25515"/>
    <w:rsid w:val="00F32285"/>
    <w:rsid w:val="00F37225"/>
    <w:rsid w:val="00F40981"/>
    <w:rsid w:val="00F42FA4"/>
    <w:rsid w:val="00F8573B"/>
    <w:rsid w:val="00F85BC3"/>
    <w:rsid w:val="00F91BE3"/>
    <w:rsid w:val="00F969C1"/>
    <w:rsid w:val="00F96A61"/>
    <w:rsid w:val="00FA2EC9"/>
    <w:rsid w:val="00FC1EAA"/>
    <w:rsid w:val="00FD0F4F"/>
    <w:rsid w:val="00FD684C"/>
    <w:rsid w:val="00FE2270"/>
    <w:rsid w:val="00FE2A89"/>
    <w:rsid w:val="00FE561A"/>
    <w:rsid w:val="00FE71BC"/>
    <w:rsid w:val="00FF50F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AC98"/>
  <w15:chartTrackingRefBased/>
  <w15:docId w15:val="{0F7CF9C9-FBAC-46DF-829A-E0440CAB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1B73"/>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71B73"/>
    <w:pPr>
      <w:tabs>
        <w:tab w:val="center" w:pos="4536"/>
        <w:tab w:val="right" w:pos="9072"/>
      </w:tabs>
    </w:pPr>
  </w:style>
  <w:style w:type="character" w:customStyle="1" w:styleId="KopfzeileZchn">
    <w:name w:val="Kopfzeile Zchn"/>
    <w:basedOn w:val="Absatz-Standardschriftart"/>
    <w:link w:val="Kopfzeile"/>
    <w:rsid w:val="00371B73"/>
    <w:rPr>
      <w:rFonts w:ascii="Arial" w:eastAsia="Times New Roman" w:hAnsi="Arial" w:cs="Times New Roman"/>
      <w:szCs w:val="24"/>
      <w:lang w:eastAsia="de-CH"/>
    </w:rPr>
  </w:style>
  <w:style w:type="paragraph" w:customStyle="1" w:styleId="Speicherpfad6pt">
    <w:name w:val="Speicherpfad 6 pt"/>
    <w:basedOn w:val="Standard"/>
    <w:rsid w:val="00371B73"/>
    <w:pPr>
      <w:spacing w:line="160" w:lineRule="exact"/>
      <w:jc w:val="both"/>
    </w:pPr>
    <w:rPr>
      <w:sz w:val="12"/>
    </w:rPr>
  </w:style>
  <w:style w:type="paragraph" w:styleId="Fuzeile">
    <w:name w:val="footer"/>
    <w:basedOn w:val="Standard"/>
    <w:link w:val="FuzeileZchn"/>
    <w:rsid w:val="00371B73"/>
    <w:pPr>
      <w:tabs>
        <w:tab w:val="center" w:pos="4536"/>
        <w:tab w:val="right" w:pos="9072"/>
      </w:tabs>
    </w:pPr>
  </w:style>
  <w:style w:type="character" w:customStyle="1" w:styleId="FuzeileZchn">
    <w:name w:val="Fußzeile Zchn"/>
    <w:basedOn w:val="Absatz-Standardschriftart"/>
    <w:link w:val="Fuzeile"/>
    <w:rsid w:val="00371B73"/>
    <w:rPr>
      <w:rFonts w:ascii="Arial" w:eastAsia="Times New Roman" w:hAnsi="Arial" w:cs="Times New Roman"/>
      <w:szCs w:val="24"/>
      <w:lang w:eastAsia="de-CH"/>
    </w:rPr>
  </w:style>
  <w:style w:type="character" w:styleId="Seitenzahl">
    <w:name w:val="page number"/>
    <w:basedOn w:val="Absatz-Standardschriftart"/>
    <w:rsid w:val="00371B73"/>
  </w:style>
  <w:style w:type="paragraph" w:customStyle="1" w:styleId="Logo">
    <w:name w:val="Logo"/>
    <w:basedOn w:val="Standard"/>
    <w:rsid w:val="00371B73"/>
    <w:rPr>
      <w:vanish/>
    </w:rPr>
  </w:style>
  <w:style w:type="paragraph" w:customStyle="1" w:styleId="fuerFragenkursiv">
    <w:name w:val="fuer Fragen kursiv"/>
    <w:basedOn w:val="Standard"/>
    <w:rsid w:val="00371B73"/>
    <w:pPr>
      <w:spacing w:line="340" w:lineRule="exact"/>
    </w:pPr>
    <w:rPr>
      <w:i/>
      <w:iCs/>
      <w:sz w:val="20"/>
    </w:rPr>
  </w:style>
  <w:style w:type="character" w:styleId="Hyperlink">
    <w:name w:val="Hyperlink"/>
    <w:basedOn w:val="Absatz-Standardschriftart"/>
    <w:rsid w:val="00371B73"/>
    <w:rPr>
      <w:color w:val="0563C1" w:themeColor="hyperlink"/>
      <w:u w:val="single"/>
    </w:rPr>
  </w:style>
  <w:style w:type="paragraph" w:styleId="berarbeitung">
    <w:name w:val="Revision"/>
    <w:hidden/>
    <w:uiPriority w:val="99"/>
    <w:semiHidden/>
    <w:rsid w:val="00A426EF"/>
    <w:pPr>
      <w:spacing w:after="0" w:line="240" w:lineRule="auto"/>
    </w:pPr>
    <w:rPr>
      <w:rFonts w:ascii="Arial" w:eastAsia="Times New Roman" w:hAnsi="Arial" w:cs="Times New Roman"/>
      <w:szCs w:val="24"/>
      <w:lang w:eastAsia="de-CH"/>
    </w:rPr>
  </w:style>
  <w:style w:type="character" w:styleId="Kommentarzeichen">
    <w:name w:val="annotation reference"/>
    <w:basedOn w:val="Absatz-Standardschriftart"/>
    <w:uiPriority w:val="99"/>
    <w:semiHidden/>
    <w:unhideWhenUsed/>
    <w:rsid w:val="00242953"/>
    <w:rPr>
      <w:sz w:val="16"/>
      <w:szCs w:val="16"/>
    </w:rPr>
  </w:style>
  <w:style w:type="paragraph" w:styleId="Kommentartext">
    <w:name w:val="annotation text"/>
    <w:basedOn w:val="Standard"/>
    <w:link w:val="KommentartextZchn"/>
    <w:uiPriority w:val="99"/>
    <w:unhideWhenUsed/>
    <w:rsid w:val="00242953"/>
    <w:pPr>
      <w:spacing w:line="240" w:lineRule="auto"/>
    </w:pPr>
    <w:rPr>
      <w:sz w:val="20"/>
      <w:szCs w:val="20"/>
    </w:rPr>
  </w:style>
  <w:style w:type="character" w:customStyle="1" w:styleId="KommentartextZchn">
    <w:name w:val="Kommentartext Zchn"/>
    <w:basedOn w:val="Absatz-Standardschriftart"/>
    <w:link w:val="Kommentartext"/>
    <w:uiPriority w:val="99"/>
    <w:rsid w:val="00242953"/>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242953"/>
    <w:rPr>
      <w:b/>
      <w:bCs/>
    </w:rPr>
  </w:style>
  <w:style w:type="character" w:customStyle="1" w:styleId="KommentarthemaZchn">
    <w:name w:val="Kommentarthema Zchn"/>
    <w:basedOn w:val="KommentartextZchn"/>
    <w:link w:val="Kommentarthema"/>
    <w:uiPriority w:val="99"/>
    <w:semiHidden/>
    <w:rsid w:val="00242953"/>
    <w:rPr>
      <w:rFonts w:ascii="Arial" w:eastAsia="Times New Roman" w:hAnsi="Arial" w:cs="Times New Roman"/>
      <w:b/>
      <w:bCs/>
      <w:sz w:val="20"/>
      <w:szCs w:val="20"/>
      <w:lang w:eastAsia="de-CH"/>
    </w:rPr>
  </w:style>
  <w:style w:type="character" w:styleId="NichtaufgelsteErwhnung">
    <w:name w:val="Unresolved Mention"/>
    <w:basedOn w:val="Absatz-Standardschriftart"/>
    <w:uiPriority w:val="99"/>
    <w:semiHidden/>
    <w:unhideWhenUsed/>
    <w:rsid w:val="00F1661D"/>
    <w:rPr>
      <w:color w:val="605E5C"/>
      <w:shd w:val="clear" w:color="auto" w:fill="E1DFDD"/>
    </w:rPr>
  </w:style>
  <w:style w:type="paragraph" w:styleId="Listenabsatz">
    <w:name w:val="List Paragraph"/>
    <w:basedOn w:val="Standard"/>
    <w:uiPriority w:val="34"/>
    <w:qFormat/>
    <w:rsid w:val="002A550C"/>
    <w:pPr>
      <w:ind w:left="720"/>
      <w:contextualSpacing/>
    </w:pPr>
  </w:style>
  <w:style w:type="paragraph" w:styleId="KeinLeerraum">
    <w:name w:val="No Spacing"/>
    <w:basedOn w:val="Standard"/>
    <w:next w:val="Standard"/>
    <w:uiPriority w:val="1"/>
    <w:qFormat/>
    <w:rsid w:val="00040535"/>
    <w:pPr>
      <w:spacing w:line="240" w:lineRule="auto"/>
    </w:pPr>
    <w:rPr>
      <w:rFonts w:asciiTheme="minorHAnsi" w:eastAsiaTheme="minorHAnsi" w:hAnsiTheme="minorHAnsi" w:cstheme="minorBidi"/>
      <w:color w:val="000000"/>
      <w:sz w:val="20"/>
      <w:szCs w:val="22"/>
      <w:lang w:eastAsia="en-US"/>
    </w:rPr>
  </w:style>
  <w:style w:type="paragraph" w:customStyle="1" w:styleId="Zwischentitel">
    <w:name w:val="Zwischentitel"/>
    <w:basedOn w:val="Standard"/>
    <w:next w:val="Standard"/>
    <w:qFormat/>
    <w:rsid w:val="00040535"/>
    <w:pPr>
      <w:spacing w:before="240" w:after="120" w:line="240" w:lineRule="auto"/>
    </w:pPr>
    <w:rPr>
      <w:rFonts w:asciiTheme="minorHAnsi" w:eastAsiaTheme="minorHAnsi" w:hAnsiTheme="minorHAnsi" w:cstheme="minorBidi"/>
      <w:b/>
      <w:color w:val="000000"/>
      <w:szCs w:val="22"/>
      <w:lang w:eastAsia="en-US"/>
    </w:rPr>
  </w:style>
  <w:style w:type="character" w:styleId="BesuchterLink">
    <w:name w:val="FollowedHyperlink"/>
    <w:basedOn w:val="Absatz-Standardschriftart"/>
    <w:uiPriority w:val="99"/>
    <w:semiHidden/>
    <w:unhideWhenUsed/>
    <w:rsid w:val="004B2014"/>
    <w:rPr>
      <w:color w:val="954F72" w:themeColor="followedHyperlink"/>
      <w:u w:val="single"/>
    </w:rPr>
  </w:style>
  <w:style w:type="paragraph" w:customStyle="1" w:styleId="Lauftextfett">
    <w:name w:val="#Lauftext (fett)"/>
    <w:basedOn w:val="Lauftext"/>
    <w:link w:val="LauftextfettZchn"/>
    <w:qFormat/>
    <w:rsid w:val="005350B7"/>
    <w:rPr>
      <w:b/>
    </w:rPr>
  </w:style>
  <w:style w:type="character" w:customStyle="1" w:styleId="LauftextfettZchn">
    <w:name w:val="#Lauftext (fett) Zchn"/>
    <w:basedOn w:val="LauftextZchn"/>
    <w:link w:val="Lauftextfett"/>
    <w:rsid w:val="005350B7"/>
    <w:rPr>
      <w:rFonts w:ascii="Franklin Gothic Book" w:eastAsia="Times New Roman" w:hAnsi="Franklin Gothic Book" w:cs="Times New Roman"/>
      <w:b/>
      <w:szCs w:val="20"/>
      <w:lang w:eastAsia="de-CH"/>
    </w:rPr>
  </w:style>
  <w:style w:type="paragraph" w:customStyle="1" w:styleId="Lauftext">
    <w:name w:val="#Lauftext"/>
    <w:basedOn w:val="Standard"/>
    <w:link w:val="LauftextZchn"/>
    <w:qFormat/>
    <w:rsid w:val="005350B7"/>
    <w:pPr>
      <w:spacing w:after="240" w:line="270" w:lineRule="atLeast"/>
    </w:pPr>
    <w:rPr>
      <w:rFonts w:ascii="Franklin Gothic Book" w:hAnsi="Franklin Gothic Book"/>
      <w:szCs w:val="20"/>
    </w:rPr>
  </w:style>
  <w:style w:type="character" w:customStyle="1" w:styleId="LauftextZchn">
    <w:name w:val="#Lauftext Zchn"/>
    <w:basedOn w:val="Absatz-Standardschriftart"/>
    <w:link w:val="Lauftext"/>
    <w:rsid w:val="005350B7"/>
    <w:rPr>
      <w:rFonts w:ascii="Franklin Gothic Book" w:eastAsia="Times New Roman" w:hAnsi="Franklin Gothic Book" w:cs="Times New Roman"/>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92041">
      <w:bodyDiv w:val="1"/>
      <w:marLeft w:val="0"/>
      <w:marRight w:val="0"/>
      <w:marTop w:val="0"/>
      <w:marBottom w:val="0"/>
      <w:divBdr>
        <w:top w:val="none" w:sz="0" w:space="0" w:color="auto"/>
        <w:left w:val="none" w:sz="0" w:space="0" w:color="auto"/>
        <w:bottom w:val="none" w:sz="0" w:space="0" w:color="auto"/>
        <w:right w:val="none" w:sz="0" w:space="0" w:color="auto"/>
      </w:divBdr>
    </w:div>
    <w:div w:id="403374740">
      <w:bodyDiv w:val="1"/>
      <w:marLeft w:val="0"/>
      <w:marRight w:val="0"/>
      <w:marTop w:val="0"/>
      <w:marBottom w:val="0"/>
      <w:divBdr>
        <w:top w:val="none" w:sz="0" w:space="0" w:color="auto"/>
        <w:left w:val="none" w:sz="0" w:space="0" w:color="auto"/>
        <w:bottom w:val="none" w:sz="0" w:space="0" w:color="auto"/>
        <w:right w:val="none" w:sz="0" w:space="0" w:color="auto"/>
      </w:divBdr>
    </w:div>
    <w:div w:id="662391683">
      <w:bodyDiv w:val="1"/>
      <w:marLeft w:val="0"/>
      <w:marRight w:val="0"/>
      <w:marTop w:val="0"/>
      <w:marBottom w:val="0"/>
      <w:divBdr>
        <w:top w:val="none" w:sz="0" w:space="0" w:color="auto"/>
        <w:left w:val="none" w:sz="0" w:space="0" w:color="auto"/>
        <w:bottom w:val="none" w:sz="0" w:space="0" w:color="auto"/>
        <w:right w:val="none" w:sz="0" w:space="0" w:color="auto"/>
      </w:divBdr>
    </w:div>
    <w:div w:id="883717421">
      <w:bodyDiv w:val="1"/>
      <w:marLeft w:val="0"/>
      <w:marRight w:val="0"/>
      <w:marTop w:val="0"/>
      <w:marBottom w:val="0"/>
      <w:divBdr>
        <w:top w:val="none" w:sz="0" w:space="0" w:color="auto"/>
        <w:left w:val="none" w:sz="0" w:space="0" w:color="auto"/>
        <w:bottom w:val="none" w:sz="0" w:space="0" w:color="auto"/>
        <w:right w:val="none" w:sz="0" w:space="0" w:color="auto"/>
      </w:divBdr>
    </w:div>
    <w:div w:id="12106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yves.schott@agvs-upsa.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93795-869F-48B0-8CC2-2819C636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5639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Yves Schott</cp:lastModifiedBy>
  <cp:revision>7</cp:revision>
  <cp:lastPrinted>2023-09-25T08:32:00Z</cp:lastPrinted>
  <dcterms:created xsi:type="dcterms:W3CDTF">2024-11-11T09:10:00Z</dcterms:created>
  <dcterms:modified xsi:type="dcterms:W3CDTF">2024-11-11T09:43:00Z</dcterms:modified>
</cp:coreProperties>
</file>