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DE3E6C" w14:textId="77777777" w:rsidR="00371B73" w:rsidRPr="00C10627" w:rsidRDefault="00371B73" w:rsidP="00371B73">
      <w:pPr>
        <w:spacing w:line="240" w:lineRule="auto"/>
        <w:rPr>
          <w:b/>
        </w:rPr>
      </w:pPr>
      <w:bookmarkStart w:id="0" w:name="BkmStart"/>
      <w:bookmarkEnd w:id="0"/>
      <w:r w:rsidRPr="00C10627">
        <w:rPr>
          <w:b/>
        </w:rPr>
        <w:t>MEDIENINFORMATION</w:t>
      </w:r>
    </w:p>
    <w:p w14:paraId="3E0DA9C0" w14:textId="2E07766B" w:rsidR="00371B73" w:rsidRPr="00C10627" w:rsidRDefault="00371B73" w:rsidP="00371B73">
      <w:pPr>
        <w:spacing w:line="240" w:lineRule="auto"/>
      </w:pPr>
    </w:p>
    <w:p w14:paraId="3D6D09AF" w14:textId="69F4AC85" w:rsidR="0013472D" w:rsidRPr="00C10627" w:rsidRDefault="004F59CF" w:rsidP="0013472D">
      <w:pPr>
        <w:spacing w:line="240" w:lineRule="auto"/>
        <w:rPr>
          <w:sz w:val="24"/>
        </w:rPr>
      </w:pPr>
      <w:r>
        <w:rPr>
          <w:sz w:val="24"/>
        </w:rPr>
        <w:t xml:space="preserve">BAK – Konjunkturausblick für das Schweizer Autogewerbe </w:t>
      </w:r>
    </w:p>
    <w:p w14:paraId="20F32D25" w14:textId="77777777" w:rsidR="00A374FF" w:rsidRPr="00C10627" w:rsidRDefault="00A374FF" w:rsidP="00371B73">
      <w:pPr>
        <w:spacing w:line="240" w:lineRule="auto"/>
        <w:rPr>
          <w:sz w:val="24"/>
        </w:rPr>
      </w:pPr>
    </w:p>
    <w:p w14:paraId="00E1EEA4" w14:textId="5306F450" w:rsidR="004F59CF" w:rsidRPr="004F59CF" w:rsidRDefault="004F59CF" w:rsidP="004F59CF">
      <w:pPr>
        <w:jc w:val="both"/>
        <w:rPr>
          <w:b/>
          <w:bCs/>
          <w:sz w:val="32"/>
          <w:szCs w:val="32"/>
        </w:rPr>
      </w:pPr>
      <w:r w:rsidRPr="004F59CF">
        <w:rPr>
          <w:b/>
          <w:bCs/>
          <w:sz w:val="32"/>
          <w:szCs w:val="32"/>
        </w:rPr>
        <w:t xml:space="preserve">Hybridautos </w:t>
      </w:r>
      <w:r w:rsidR="003A4277">
        <w:rPr>
          <w:b/>
          <w:bCs/>
          <w:sz w:val="32"/>
          <w:szCs w:val="32"/>
        </w:rPr>
        <w:t>lösen</w:t>
      </w:r>
      <w:r w:rsidRPr="004F59CF">
        <w:rPr>
          <w:b/>
          <w:bCs/>
          <w:sz w:val="32"/>
          <w:szCs w:val="32"/>
        </w:rPr>
        <w:t xml:space="preserve"> Benziner</w:t>
      </w:r>
      <w:r w:rsidR="003A4277">
        <w:rPr>
          <w:b/>
          <w:bCs/>
          <w:sz w:val="32"/>
          <w:szCs w:val="32"/>
        </w:rPr>
        <w:t xml:space="preserve"> ab, Werkstattgeschäft </w:t>
      </w:r>
      <w:r w:rsidR="00B95A86">
        <w:rPr>
          <w:b/>
          <w:bCs/>
          <w:sz w:val="32"/>
          <w:szCs w:val="32"/>
        </w:rPr>
        <w:t>floriert</w:t>
      </w:r>
      <w:r w:rsidR="003A4277">
        <w:rPr>
          <w:b/>
          <w:bCs/>
          <w:sz w:val="32"/>
          <w:szCs w:val="32"/>
        </w:rPr>
        <w:t xml:space="preserve"> </w:t>
      </w:r>
    </w:p>
    <w:p w14:paraId="44DE5E4C" w14:textId="77777777" w:rsidR="00FE2270" w:rsidRPr="00C10627" w:rsidRDefault="00FE2270" w:rsidP="00371B73">
      <w:pPr>
        <w:spacing w:line="240" w:lineRule="auto"/>
      </w:pPr>
    </w:p>
    <w:p w14:paraId="31EF669A" w14:textId="28FFF02E" w:rsidR="005E0139" w:rsidRDefault="00371B73" w:rsidP="0027534D">
      <w:pPr>
        <w:spacing w:line="240" w:lineRule="auto"/>
        <w:jc w:val="both"/>
        <w:rPr>
          <w:b/>
          <w:bCs/>
        </w:rPr>
      </w:pPr>
      <w:r w:rsidRPr="00C10627">
        <w:rPr>
          <w:b/>
          <w:i/>
          <w:sz w:val="20"/>
          <w:szCs w:val="20"/>
        </w:rPr>
        <w:t xml:space="preserve">Bern, </w:t>
      </w:r>
      <w:r w:rsidR="004F59CF">
        <w:rPr>
          <w:b/>
          <w:i/>
          <w:sz w:val="20"/>
          <w:szCs w:val="20"/>
        </w:rPr>
        <w:t>11</w:t>
      </w:r>
      <w:r w:rsidR="006A7AF9" w:rsidRPr="00C10627">
        <w:rPr>
          <w:b/>
          <w:i/>
          <w:sz w:val="20"/>
          <w:szCs w:val="20"/>
        </w:rPr>
        <w:t>.</w:t>
      </w:r>
      <w:r w:rsidR="00E60B2E">
        <w:rPr>
          <w:b/>
          <w:i/>
          <w:sz w:val="20"/>
          <w:szCs w:val="20"/>
        </w:rPr>
        <w:t xml:space="preserve"> </w:t>
      </w:r>
      <w:r w:rsidR="004F59CF">
        <w:rPr>
          <w:b/>
          <w:i/>
          <w:sz w:val="20"/>
          <w:szCs w:val="20"/>
        </w:rPr>
        <w:t>November</w:t>
      </w:r>
      <w:r w:rsidR="00E60B2E">
        <w:rPr>
          <w:b/>
          <w:i/>
          <w:sz w:val="20"/>
          <w:szCs w:val="20"/>
        </w:rPr>
        <w:t xml:space="preserve"> </w:t>
      </w:r>
      <w:r w:rsidR="00457946" w:rsidRPr="00C10627">
        <w:rPr>
          <w:b/>
          <w:i/>
          <w:sz w:val="20"/>
          <w:szCs w:val="20"/>
        </w:rPr>
        <w:t>202</w:t>
      </w:r>
      <w:r w:rsidR="00E60B2E">
        <w:rPr>
          <w:b/>
          <w:i/>
          <w:sz w:val="20"/>
          <w:szCs w:val="20"/>
        </w:rPr>
        <w:t>4</w:t>
      </w:r>
      <w:r w:rsidR="00457946" w:rsidRPr="00C10627">
        <w:rPr>
          <w:b/>
          <w:i/>
          <w:sz w:val="20"/>
          <w:szCs w:val="20"/>
        </w:rPr>
        <w:t xml:space="preserve"> </w:t>
      </w:r>
      <w:r w:rsidR="004C0D89" w:rsidRPr="00C10627">
        <w:rPr>
          <w:rFonts w:cs="Arial"/>
          <w:b/>
          <w:i/>
          <w:sz w:val="20"/>
          <w:szCs w:val="20"/>
        </w:rPr>
        <w:t>–</w:t>
      </w:r>
      <w:r w:rsidR="00B1199C" w:rsidRPr="00C10627">
        <w:rPr>
          <w:rFonts w:cs="Arial"/>
          <w:b/>
          <w:i/>
          <w:sz w:val="20"/>
          <w:szCs w:val="20"/>
        </w:rPr>
        <w:t xml:space="preserve"> </w:t>
      </w:r>
      <w:r w:rsidR="009A71F5" w:rsidRPr="009A71F5">
        <w:rPr>
          <w:b/>
          <w:bCs/>
          <w:i/>
          <w:iCs/>
          <w:sz w:val="20"/>
          <w:szCs w:val="22"/>
        </w:rPr>
        <w:t>Nach einer deutlichen Erholung im letzten Jahr kämpft der Schweizer Autohandel 2024 wieder mit einer erschwerten Marktsituation. Die Anzahl der zugelassenen Neufahrzeuge ist wieder rückläufig. Einzig die Hybridautos verzeichnen eine positive Bilanz. Bis Ende Jahr rechnet BAK Economics mit 243'000 Neuzulassungen. Im kommenden Jahr werden sowohl der Neuwagen- als auch der Occasionsmarkt wieder leichte Impulse erfahren. Grössere Nachholeffekte bleiben weiter aus.</w:t>
      </w:r>
      <w:r w:rsidR="008C0B6A">
        <w:rPr>
          <w:b/>
          <w:bCs/>
          <w:i/>
          <w:iCs/>
          <w:sz w:val="20"/>
          <w:szCs w:val="22"/>
        </w:rPr>
        <w:t xml:space="preserve"> Dafür dürften die Umsätze im Werkstattgeschäft weiter steigen.</w:t>
      </w:r>
    </w:p>
    <w:p w14:paraId="7F372633" w14:textId="77777777" w:rsidR="009A71F5" w:rsidRPr="00C10627" w:rsidRDefault="009A71F5" w:rsidP="00A46922">
      <w:pPr>
        <w:spacing w:line="240" w:lineRule="auto"/>
        <w:rPr>
          <w:rFonts w:cs="Arial"/>
          <w:szCs w:val="22"/>
        </w:rPr>
      </w:pPr>
    </w:p>
    <w:p w14:paraId="3AE56917" w14:textId="3067DC5C" w:rsidR="009A71F5" w:rsidRDefault="009A71F5" w:rsidP="009A71F5">
      <w:pPr>
        <w:jc w:val="both"/>
        <w:rPr>
          <w:sz w:val="20"/>
          <w:szCs w:val="22"/>
        </w:rPr>
      </w:pPr>
      <w:r w:rsidRPr="009A71F5">
        <w:rPr>
          <w:sz w:val="20"/>
          <w:szCs w:val="22"/>
        </w:rPr>
        <w:t xml:space="preserve">Während sich der Neuwagenmarkt 2023 stark erholen konnte, macht sich im laufenden Jahr die noch immer verhaltene Konsumentenstimmung bemerkbar. Per Ende September lag die Anzahl der Neuimmatrikulationen um 3,9 Prozent unter dem Vorjahreswert. Besonders die Nachfrage nach Fahrzeugen mit einem klassischen Verbrennungsmotor ist deutlich zurückgegangen. Gleichzeitig ist die Anzahl der neuimmatrikulierten Hybridautos (Mild- sowie Vollhybrid) angestiegen. Damit lösen sie bezüglich Marktanteile bei den Neuimmatrikulationen die Benziner an der Spitze des Rankings ab. Mit einem Marktanteil von knapp 33 Prozent waren sie klar die beliebteste Fahrzeuggruppe, gefolgt von den Benzinern mit 30 Prozent. Reinelektrische Fahrzeuge (BEV) haben an Marktanteil verloren und liegen bei knapp 19 Prozent. </w:t>
      </w:r>
      <w:r w:rsidR="00213747">
        <w:rPr>
          <w:sz w:val="20"/>
          <w:szCs w:val="22"/>
        </w:rPr>
        <w:t>Der</w:t>
      </w:r>
      <w:r w:rsidRPr="009A71F5">
        <w:rPr>
          <w:sz w:val="20"/>
          <w:szCs w:val="22"/>
        </w:rPr>
        <w:t xml:space="preserve"> </w:t>
      </w:r>
      <w:r w:rsidR="00213747">
        <w:rPr>
          <w:sz w:val="20"/>
          <w:szCs w:val="22"/>
        </w:rPr>
        <w:t>Trend</w:t>
      </w:r>
      <w:r w:rsidRPr="009A71F5">
        <w:rPr>
          <w:sz w:val="20"/>
          <w:szCs w:val="22"/>
        </w:rPr>
        <w:t xml:space="preserve"> der ersten drei Quartale wird sich</w:t>
      </w:r>
      <w:r w:rsidR="00AE0DBF">
        <w:rPr>
          <w:sz w:val="20"/>
          <w:szCs w:val="22"/>
        </w:rPr>
        <w:t xml:space="preserve"> zuungunsten der AGVS-Garagistinnen und -Garagisten </w:t>
      </w:r>
      <w:r w:rsidRPr="009A71F5">
        <w:rPr>
          <w:sz w:val="20"/>
          <w:szCs w:val="22"/>
        </w:rPr>
        <w:t xml:space="preserve">auch im letzten Quartal fortsetzen, womit die Anzahl der zugelassenen Neufahrzeuge mit 243'000 deutlich unter dem Vorjahreswert bleibt (-3,7 Prozent gegenüber 2023).  </w:t>
      </w:r>
    </w:p>
    <w:p w14:paraId="6D9975D5" w14:textId="77777777" w:rsidR="009A71F5" w:rsidRPr="009A71F5" w:rsidRDefault="009A71F5" w:rsidP="009A71F5">
      <w:pPr>
        <w:jc w:val="both"/>
        <w:rPr>
          <w:sz w:val="20"/>
          <w:szCs w:val="22"/>
        </w:rPr>
      </w:pPr>
    </w:p>
    <w:p w14:paraId="0DFD6296" w14:textId="77777777" w:rsidR="009A71F5" w:rsidRPr="009A71F5" w:rsidRDefault="009A71F5" w:rsidP="009A71F5">
      <w:pPr>
        <w:jc w:val="both"/>
        <w:rPr>
          <w:sz w:val="20"/>
          <w:szCs w:val="22"/>
        </w:rPr>
      </w:pPr>
      <w:r w:rsidRPr="009A71F5">
        <w:rPr>
          <w:sz w:val="20"/>
          <w:szCs w:val="22"/>
        </w:rPr>
        <w:t xml:space="preserve">Anders als der Neuwagenmarkt kann der Occasionshandel im laufenden Jahr ein leichtes Plus verzeichnen. Insgesamt haben per Ende September 1,6 Prozent mehr Fahrzeuge ihre </w:t>
      </w:r>
      <w:proofErr w:type="spellStart"/>
      <w:proofErr w:type="gramStart"/>
      <w:r w:rsidRPr="009A71F5">
        <w:rPr>
          <w:sz w:val="20"/>
          <w:szCs w:val="22"/>
        </w:rPr>
        <w:t>Halter:innen</w:t>
      </w:r>
      <w:proofErr w:type="spellEnd"/>
      <w:proofErr w:type="gramEnd"/>
      <w:r w:rsidRPr="009A71F5">
        <w:rPr>
          <w:sz w:val="20"/>
          <w:szCs w:val="22"/>
        </w:rPr>
        <w:t xml:space="preserve"> gewechselt als 2023. Diese positive Bilanz wird vollumfänglich von den Fahrzeugen mit einem alternativen Antrieb getragen. Die Nachfrage nach Occasionsfahrzeugen mit einem klassischen Verbrennungsmotor war dagegen klar rückläufig. Dennoch wird der Occasionsmarkt nach wie vor von den klassischen Verbrennern dominiert, die kombiniert einen Marktanteil von über 85 Prozent auf sich vereinen. Trotzdem wächst auch hier der Einfluss der alternativen Antriebe, welche einen Marktanteil von knapp 10 Prozent erreichen. Bis Ende Jahr dürften insgesamt rund 768'000 Fahrzeuge ihre </w:t>
      </w:r>
      <w:proofErr w:type="spellStart"/>
      <w:proofErr w:type="gramStart"/>
      <w:r w:rsidRPr="009A71F5">
        <w:rPr>
          <w:sz w:val="20"/>
          <w:szCs w:val="22"/>
        </w:rPr>
        <w:t>Halter:innen</w:t>
      </w:r>
      <w:proofErr w:type="spellEnd"/>
      <w:proofErr w:type="gramEnd"/>
      <w:r w:rsidRPr="009A71F5">
        <w:rPr>
          <w:sz w:val="20"/>
          <w:szCs w:val="22"/>
        </w:rPr>
        <w:t xml:space="preserve"> wechseln. </w:t>
      </w:r>
    </w:p>
    <w:p w14:paraId="4CBBD60E" w14:textId="77777777" w:rsidR="009A71F5" w:rsidRPr="009A71F5" w:rsidRDefault="009A71F5" w:rsidP="009A71F5">
      <w:pPr>
        <w:jc w:val="both"/>
        <w:rPr>
          <w:sz w:val="20"/>
          <w:szCs w:val="22"/>
        </w:rPr>
      </w:pPr>
    </w:p>
    <w:p w14:paraId="5D0FAE73" w14:textId="5CE4573B" w:rsidR="009A71F5" w:rsidRPr="009A71F5" w:rsidRDefault="007926AA" w:rsidP="009A71F5">
      <w:pPr>
        <w:jc w:val="both"/>
        <w:rPr>
          <w:b/>
          <w:bCs/>
          <w:sz w:val="20"/>
          <w:szCs w:val="22"/>
        </w:rPr>
      </w:pPr>
      <w:r>
        <w:rPr>
          <w:b/>
          <w:bCs/>
          <w:sz w:val="20"/>
          <w:szCs w:val="22"/>
        </w:rPr>
        <w:t xml:space="preserve">Erfreuliche Entwicklung im Werkstattgeschäft </w:t>
      </w:r>
    </w:p>
    <w:p w14:paraId="3DA46A0A" w14:textId="03E5B810" w:rsidR="009A71F5" w:rsidRDefault="009A71F5" w:rsidP="009A71F5">
      <w:pPr>
        <w:jc w:val="both"/>
        <w:rPr>
          <w:sz w:val="20"/>
          <w:szCs w:val="22"/>
        </w:rPr>
      </w:pPr>
      <w:r w:rsidRPr="009A71F5">
        <w:rPr>
          <w:sz w:val="20"/>
          <w:szCs w:val="22"/>
        </w:rPr>
        <w:t>Im kommenden Jahr erwartet BAK Economics sowohl für den Neuwagen- als auch für den Occasionsmarkt eine positive Bilanz. Die sich weiter verbessernde wirtschaftliche Situation dürfte bei den Konsumentinnen und Konsumenten wieder zu optimistischeren Aussichten führen. Ausserdem werden die Preise für Neu- wie für Occasionsfahrzeuge im kommenden Jahr weiter sinken</w:t>
      </w:r>
      <w:r w:rsidR="00AE0DBF">
        <w:rPr>
          <w:sz w:val="20"/>
          <w:szCs w:val="22"/>
        </w:rPr>
        <w:t xml:space="preserve">. </w:t>
      </w:r>
      <w:r w:rsidRPr="009A71F5">
        <w:rPr>
          <w:sz w:val="20"/>
          <w:szCs w:val="22"/>
        </w:rPr>
        <w:t xml:space="preserve">Grössere Nachholeffekte nach den tiefen Neuimmatrikulations- sowie Halterwechselzahlen der letzten Jahre bleiben jedoch weiterhin aus. Dies auch, weil die Konsumentinnen und Konsumenten nach wie vor die Folgen der wirtschaftlichen Schwierigkeiten spüren und sie sich deshalb auch 2025 eher von ihrer zögerlichen Seite zeigen dürften. </w:t>
      </w:r>
    </w:p>
    <w:p w14:paraId="48798A5B" w14:textId="77777777" w:rsidR="009A71F5" w:rsidRPr="009A71F5" w:rsidRDefault="009A71F5" w:rsidP="009A71F5">
      <w:pPr>
        <w:jc w:val="both"/>
        <w:rPr>
          <w:i/>
          <w:iCs/>
          <w:sz w:val="20"/>
          <w:szCs w:val="22"/>
        </w:rPr>
      </w:pPr>
    </w:p>
    <w:p w14:paraId="6784C990" w14:textId="1DB4B746" w:rsidR="009A71F5" w:rsidRDefault="009A71F5" w:rsidP="009A71F5">
      <w:pPr>
        <w:jc w:val="both"/>
        <w:rPr>
          <w:sz w:val="20"/>
          <w:szCs w:val="22"/>
        </w:rPr>
      </w:pPr>
      <w:r w:rsidRPr="009A71F5">
        <w:rPr>
          <w:sz w:val="20"/>
          <w:szCs w:val="22"/>
        </w:rPr>
        <w:t xml:space="preserve">Für den Neuwagenmarkt rechnet BAK Economics mit Immatrikulationszahlen von rund 246'000 (+1,3 Prozent). Auf dem Occasionsmarkt dürften rund 785'000 Fahrzeuge ihre Halter wechseln (+2,2 Prozent). </w:t>
      </w:r>
      <w:r w:rsidR="00213747">
        <w:rPr>
          <w:sz w:val="20"/>
          <w:szCs w:val="22"/>
        </w:rPr>
        <w:t>Der</w:t>
      </w:r>
      <w:r w:rsidRPr="009A71F5">
        <w:rPr>
          <w:sz w:val="20"/>
          <w:szCs w:val="22"/>
        </w:rPr>
        <w:t xml:space="preserve"> Trend hin zu Hybridfahrzeugen </w:t>
      </w:r>
      <w:r w:rsidR="00213747">
        <w:rPr>
          <w:sz w:val="20"/>
          <w:szCs w:val="22"/>
        </w:rPr>
        <w:t xml:space="preserve">wird sich </w:t>
      </w:r>
      <w:r w:rsidRPr="009A71F5">
        <w:rPr>
          <w:sz w:val="20"/>
          <w:szCs w:val="22"/>
        </w:rPr>
        <w:t>im nächsten Jahr fortsetzen</w:t>
      </w:r>
      <w:r w:rsidR="00213747">
        <w:rPr>
          <w:sz w:val="20"/>
          <w:szCs w:val="22"/>
        </w:rPr>
        <w:t xml:space="preserve"> – AGVS-Garagen sollten diese Entwicklung jedenfalls genau im Auge behalten. </w:t>
      </w:r>
      <w:r w:rsidRPr="009A71F5">
        <w:rPr>
          <w:sz w:val="20"/>
          <w:szCs w:val="22"/>
        </w:rPr>
        <w:t xml:space="preserve"> Reine Elektrofahrzeuge dürften sich im nächsten Jahr </w:t>
      </w:r>
      <w:r w:rsidRPr="009A71F5">
        <w:rPr>
          <w:sz w:val="20"/>
          <w:szCs w:val="22"/>
        </w:rPr>
        <w:lastRenderedPageBreak/>
        <w:t>hingegen auch aufgrund ihrer aktuell eher tiefen Restwerte weiter mit einer herausfordernden Marktsituation konfrontiert sehen.</w:t>
      </w:r>
    </w:p>
    <w:p w14:paraId="2BC8E8CC" w14:textId="77777777" w:rsidR="00213747" w:rsidRDefault="00213747" w:rsidP="009A71F5">
      <w:pPr>
        <w:jc w:val="both"/>
        <w:rPr>
          <w:sz w:val="20"/>
          <w:szCs w:val="22"/>
        </w:rPr>
      </w:pPr>
    </w:p>
    <w:p w14:paraId="20100BF2" w14:textId="56883F4A" w:rsidR="005350B7" w:rsidRDefault="00213747" w:rsidP="005350B7">
      <w:pPr>
        <w:jc w:val="both"/>
        <w:rPr>
          <w:sz w:val="20"/>
          <w:szCs w:val="22"/>
        </w:rPr>
      </w:pPr>
      <w:r>
        <w:rPr>
          <w:sz w:val="20"/>
          <w:szCs w:val="22"/>
        </w:rPr>
        <w:t xml:space="preserve">Erfreulich ist aus Sicht des AGVS die Prognose für das Werkstattgeschäft: Sowohl im aktuellen wie im nächsten Jahr dürften die nominalen Umsätze in diesem Bereich </w:t>
      </w:r>
      <w:proofErr w:type="gramStart"/>
      <w:r>
        <w:rPr>
          <w:sz w:val="20"/>
          <w:szCs w:val="22"/>
        </w:rPr>
        <w:t>weiter wachsen</w:t>
      </w:r>
      <w:proofErr w:type="gramEnd"/>
      <w:r>
        <w:rPr>
          <w:sz w:val="20"/>
          <w:szCs w:val="22"/>
        </w:rPr>
        <w:t xml:space="preserve">. Gründe dafür sind einerseits die gute Auslastung im Werkstattgeschäft, andererseits die Preisentwicklung: Da im laufenden Jahr die Kostenkomponenten für </w:t>
      </w:r>
      <w:proofErr w:type="spellStart"/>
      <w:proofErr w:type="gramStart"/>
      <w:r>
        <w:rPr>
          <w:sz w:val="20"/>
          <w:szCs w:val="22"/>
        </w:rPr>
        <w:t>Garagist:innen</w:t>
      </w:r>
      <w:proofErr w:type="spellEnd"/>
      <w:proofErr w:type="gramEnd"/>
      <w:r>
        <w:rPr>
          <w:sz w:val="20"/>
          <w:szCs w:val="22"/>
        </w:rPr>
        <w:t xml:space="preserve"> weiter angestiegen sind, führte dies gleichzeitig zu einer Erhöhung der Verrechnungspreise. BAK Economics rechnet für </w:t>
      </w:r>
      <w:r w:rsidR="007926AA">
        <w:rPr>
          <w:sz w:val="20"/>
          <w:szCs w:val="22"/>
        </w:rPr>
        <w:t>2025</w:t>
      </w:r>
      <w:r>
        <w:rPr>
          <w:sz w:val="20"/>
          <w:szCs w:val="22"/>
        </w:rPr>
        <w:t xml:space="preserve"> </w:t>
      </w:r>
      <w:r w:rsidR="007926AA">
        <w:rPr>
          <w:sz w:val="20"/>
          <w:szCs w:val="22"/>
        </w:rPr>
        <w:t xml:space="preserve">daher mit einem Umsatzwachstum von 1,4 Prozent. </w:t>
      </w:r>
    </w:p>
    <w:p w14:paraId="0BE29042" w14:textId="77777777" w:rsidR="005350B7" w:rsidRDefault="005350B7" w:rsidP="005350B7">
      <w:pPr>
        <w:jc w:val="both"/>
        <w:rPr>
          <w:rFonts w:cs="Arial"/>
          <w:b/>
          <w:bCs/>
          <w:i/>
          <w:iCs/>
          <w:sz w:val="20"/>
          <w:szCs w:val="20"/>
        </w:rPr>
      </w:pPr>
    </w:p>
    <w:p w14:paraId="7B7ABE29" w14:textId="0B8F5EC7" w:rsidR="005350B7" w:rsidRDefault="005350B7" w:rsidP="005350B7">
      <w:pPr>
        <w:spacing w:line="240" w:lineRule="auto"/>
        <w:rPr>
          <w:rFonts w:cs="Arial"/>
          <w:b/>
          <w:bCs/>
          <w:i/>
          <w:iCs/>
          <w:sz w:val="20"/>
          <w:szCs w:val="20"/>
        </w:rPr>
      </w:pPr>
      <w:r>
        <w:rPr>
          <w:rFonts w:cs="Arial"/>
          <w:b/>
          <w:bCs/>
          <w:i/>
          <w:iCs/>
          <w:noProof/>
          <w:sz w:val="20"/>
          <w:szCs w:val="20"/>
        </w:rPr>
        <w:drawing>
          <wp:inline distT="0" distB="0" distL="0" distR="0" wp14:anchorId="27EFC0CA" wp14:editId="5A2790BF">
            <wp:extent cx="5463048" cy="2667000"/>
            <wp:effectExtent l="0" t="0" r="4445" b="0"/>
            <wp:docPr id="1329402865"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74355" cy="2672520"/>
                    </a:xfrm>
                    <a:prstGeom prst="rect">
                      <a:avLst/>
                    </a:prstGeom>
                    <a:noFill/>
                    <a:ln>
                      <a:noFill/>
                    </a:ln>
                  </pic:spPr>
                </pic:pic>
              </a:graphicData>
            </a:graphic>
          </wp:inline>
        </w:drawing>
      </w:r>
    </w:p>
    <w:p w14:paraId="2D957693" w14:textId="77777777" w:rsidR="005350B7" w:rsidRDefault="005350B7" w:rsidP="005350B7">
      <w:pPr>
        <w:spacing w:line="240" w:lineRule="auto"/>
        <w:rPr>
          <w:rFonts w:cs="Arial"/>
          <w:b/>
          <w:bCs/>
          <w:i/>
          <w:iCs/>
          <w:sz w:val="20"/>
          <w:szCs w:val="20"/>
        </w:rPr>
      </w:pPr>
    </w:p>
    <w:p w14:paraId="5AE68201" w14:textId="77777777" w:rsidR="005350B7" w:rsidRPr="005350B7" w:rsidRDefault="005350B7" w:rsidP="005350B7">
      <w:pPr>
        <w:pStyle w:val="Lauftextfett"/>
        <w:rPr>
          <w:rFonts w:ascii="Arial" w:hAnsi="Arial" w:cs="Arial"/>
          <w:sz w:val="18"/>
          <w:szCs w:val="16"/>
        </w:rPr>
      </w:pPr>
      <w:r w:rsidRPr="005350B7">
        <w:rPr>
          <w:rFonts w:ascii="Arial" w:hAnsi="Arial" w:cs="Arial"/>
          <w:sz w:val="18"/>
          <w:szCs w:val="16"/>
        </w:rPr>
        <w:t>BAK Economics AG</w:t>
      </w:r>
    </w:p>
    <w:p w14:paraId="18640230" w14:textId="5E97D132" w:rsidR="005350B7" w:rsidRPr="005350B7" w:rsidRDefault="005350B7" w:rsidP="005350B7">
      <w:pPr>
        <w:pStyle w:val="Lauftext"/>
        <w:jc w:val="both"/>
        <w:rPr>
          <w:rFonts w:ascii="Arial" w:hAnsi="Arial" w:cs="Arial"/>
          <w:sz w:val="20"/>
          <w:szCs w:val="16"/>
        </w:rPr>
      </w:pPr>
      <w:r w:rsidRPr="005350B7">
        <w:rPr>
          <w:rFonts w:ascii="Arial" w:hAnsi="Arial" w:cs="Arial"/>
          <w:sz w:val="18"/>
          <w:szCs w:val="16"/>
        </w:rPr>
        <w:t>BAK Economics AG ist das unabhängige Schweizer Wirtschaftsforschungsinstitut, welches umfassende volkswirtschaftliche Auftragsstudien erstellt und die Erkenntnisse daraus für Politik, Wirtschaft und Gesellschaft nutzbar macht. Ein zentraler Bestandteil ist die Analyse branchenspezifischer Einflüsse. Hier geht es um branchenspezifische Prognosen und Risikoanalysen oder den Einfluss struktureller Zusammenhänge sowie wirtschaftspolitischer Rahmenbedingungen auf die Entwicklung von einzelnen Wirtschaftszweigen. Die breite Modell- und Analyseinfrastruktur dient auch als Ausgangspunkt für vertiefende Analysen von firmenspezifischen Fragestellungen und die Entwicklung von Lösungen für Unternehmen.</w:t>
      </w:r>
      <w:r w:rsidRPr="005350B7">
        <w:rPr>
          <w:rFonts w:ascii="Arial" w:hAnsi="Arial" w:cs="Arial"/>
          <w:sz w:val="20"/>
          <w:szCs w:val="16"/>
        </w:rPr>
        <w:t xml:space="preserve"> </w:t>
      </w:r>
    </w:p>
    <w:p w14:paraId="5E4A13CD" w14:textId="77777777" w:rsidR="005350B7" w:rsidRDefault="005350B7" w:rsidP="005350B7">
      <w:pPr>
        <w:spacing w:line="240" w:lineRule="auto"/>
        <w:rPr>
          <w:rFonts w:cs="Arial"/>
          <w:b/>
          <w:bCs/>
          <w:i/>
          <w:iCs/>
          <w:sz w:val="20"/>
          <w:szCs w:val="20"/>
        </w:rPr>
      </w:pPr>
    </w:p>
    <w:p w14:paraId="36DB4870" w14:textId="3C36D0A2" w:rsidR="005350B7" w:rsidRPr="00C10627" w:rsidRDefault="005350B7" w:rsidP="005350B7">
      <w:pPr>
        <w:spacing w:line="240" w:lineRule="auto"/>
        <w:rPr>
          <w:rFonts w:cs="Arial"/>
          <w:sz w:val="20"/>
          <w:szCs w:val="20"/>
        </w:rPr>
      </w:pPr>
      <w:r w:rsidRPr="00C10627">
        <w:rPr>
          <w:rFonts w:cs="Arial"/>
          <w:b/>
          <w:bCs/>
          <w:i/>
          <w:iCs/>
          <w:sz w:val="20"/>
          <w:szCs w:val="20"/>
        </w:rPr>
        <w:t>Bildlegende</w:t>
      </w:r>
      <w:r w:rsidR="002110A7">
        <w:rPr>
          <w:rFonts w:cs="Arial"/>
          <w:b/>
          <w:bCs/>
          <w:i/>
          <w:iCs/>
          <w:sz w:val="20"/>
          <w:szCs w:val="20"/>
        </w:rPr>
        <w:t>n</w:t>
      </w:r>
      <w:r w:rsidRPr="00C10627">
        <w:rPr>
          <w:rFonts w:cs="Arial"/>
          <w:b/>
          <w:bCs/>
          <w:i/>
          <w:iCs/>
          <w:sz w:val="20"/>
          <w:szCs w:val="20"/>
        </w:rPr>
        <w:t xml:space="preserve"> </w:t>
      </w:r>
    </w:p>
    <w:p w14:paraId="594BD18A" w14:textId="77777777" w:rsidR="00EE4704" w:rsidRDefault="00EE4704" w:rsidP="00EE4704">
      <w:pPr>
        <w:spacing w:line="240" w:lineRule="auto"/>
        <w:rPr>
          <w:rFonts w:cs="Arial"/>
          <w:i/>
          <w:iCs/>
          <w:sz w:val="20"/>
          <w:szCs w:val="20"/>
        </w:rPr>
      </w:pPr>
      <w:r>
        <w:rPr>
          <w:rFonts w:cs="Arial"/>
          <w:i/>
          <w:iCs/>
          <w:sz w:val="20"/>
          <w:szCs w:val="20"/>
        </w:rPr>
        <w:t xml:space="preserve">Bild 1: Hybridautos liegen 2024 bezüglich Zahl der Neuimmatrikulationen vor den Benzinern. Quelle: </w:t>
      </w:r>
      <w:proofErr w:type="spellStart"/>
      <w:r>
        <w:rPr>
          <w:rFonts w:cs="Arial"/>
          <w:i/>
          <w:iCs/>
          <w:sz w:val="20"/>
          <w:szCs w:val="20"/>
        </w:rPr>
        <w:t>zVg</w:t>
      </w:r>
      <w:proofErr w:type="spellEnd"/>
    </w:p>
    <w:p w14:paraId="4CB271AD" w14:textId="77777777" w:rsidR="00EE4704" w:rsidRPr="00D1015D" w:rsidRDefault="00EE4704" w:rsidP="00EE4704">
      <w:pPr>
        <w:spacing w:line="240" w:lineRule="auto"/>
        <w:rPr>
          <w:b/>
          <w:i/>
          <w:iCs/>
          <w:sz w:val="20"/>
          <w:szCs w:val="20"/>
        </w:rPr>
      </w:pPr>
      <w:r>
        <w:rPr>
          <w:rFonts w:cs="Arial"/>
          <w:i/>
          <w:iCs/>
          <w:sz w:val="20"/>
          <w:szCs w:val="20"/>
        </w:rPr>
        <w:t xml:space="preserve">Bild 2: Im Werkstattgeschäft dürften die Umsätze im nächsten Jahr </w:t>
      </w:r>
      <w:proofErr w:type="gramStart"/>
      <w:r>
        <w:rPr>
          <w:rFonts w:cs="Arial"/>
          <w:i/>
          <w:iCs/>
          <w:sz w:val="20"/>
          <w:szCs w:val="20"/>
        </w:rPr>
        <w:t>weiter wachsen</w:t>
      </w:r>
      <w:proofErr w:type="gramEnd"/>
      <w:r>
        <w:rPr>
          <w:rFonts w:cs="Arial"/>
          <w:i/>
          <w:iCs/>
          <w:sz w:val="20"/>
          <w:szCs w:val="20"/>
        </w:rPr>
        <w:t xml:space="preserve">. Quelle: iStock. </w:t>
      </w:r>
    </w:p>
    <w:p w14:paraId="07D75F25" w14:textId="77777777" w:rsidR="005350B7" w:rsidRPr="00C10627" w:rsidRDefault="005350B7" w:rsidP="005350B7">
      <w:pPr>
        <w:spacing w:line="240" w:lineRule="auto"/>
      </w:pPr>
    </w:p>
    <w:p w14:paraId="6C69B3C1" w14:textId="77777777" w:rsidR="005350B7" w:rsidRPr="00284B4D" w:rsidRDefault="005350B7" w:rsidP="005350B7">
      <w:pPr>
        <w:pStyle w:val="fuerFragenkursiv"/>
        <w:spacing w:line="240" w:lineRule="auto"/>
        <w:ind w:right="-114"/>
        <w:rPr>
          <w:color w:val="000000" w:themeColor="text1"/>
          <w:sz w:val="16"/>
          <w:szCs w:val="16"/>
        </w:rPr>
      </w:pPr>
      <w:bookmarkStart w:id="1" w:name="OLE_LINK1"/>
      <w:bookmarkStart w:id="2" w:name="OLE_LINK2"/>
      <w:r w:rsidRPr="00C10627">
        <w:rPr>
          <w:b/>
          <w:color w:val="000000" w:themeColor="text1"/>
          <w:sz w:val="16"/>
          <w:szCs w:val="16"/>
        </w:rPr>
        <w:t>Weitere Informationen</w:t>
      </w:r>
      <w:r w:rsidRPr="00C10627">
        <w:rPr>
          <w:color w:val="000000" w:themeColor="text1"/>
          <w:sz w:val="16"/>
          <w:szCs w:val="16"/>
        </w:rPr>
        <w:t xml:space="preserve"> erhalten Sie von Yves Schott, </w:t>
      </w:r>
      <w:proofErr w:type="gramStart"/>
      <w:r w:rsidRPr="00C10627">
        <w:rPr>
          <w:color w:val="000000" w:themeColor="text1"/>
          <w:sz w:val="16"/>
          <w:szCs w:val="16"/>
        </w:rPr>
        <w:t>AGVS Kommunikation</w:t>
      </w:r>
      <w:proofErr w:type="gramEnd"/>
      <w:r w:rsidRPr="00C10627">
        <w:rPr>
          <w:color w:val="000000" w:themeColor="text1"/>
          <w:sz w:val="16"/>
          <w:szCs w:val="16"/>
        </w:rPr>
        <w:t xml:space="preserve"> &amp; Medien, Telefon </w:t>
      </w:r>
      <w:r w:rsidRPr="00C10627">
        <w:rPr>
          <w:rFonts w:cs="Arial"/>
          <w:bCs/>
          <w:color w:val="000000" w:themeColor="text1"/>
          <w:sz w:val="16"/>
          <w:szCs w:val="16"/>
        </w:rPr>
        <w:t xml:space="preserve">031 307 15 43, </w:t>
      </w:r>
      <w:r w:rsidRPr="00C10627">
        <w:rPr>
          <w:color w:val="000000" w:themeColor="text1"/>
          <w:sz w:val="16"/>
          <w:szCs w:val="16"/>
        </w:rPr>
        <w:t xml:space="preserve">E-Mail </w:t>
      </w:r>
      <w:hyperlink r:id="rId9" w:history="1">
        <w:r w:rsidRPr="00C10627">
          <w:rPr>
            <w:rStyle w:val="Hyperlink"/>
            <w:color w:val="000000" w:themeColor="text1"/>
            <w:sz w:val="16"/>
            <w:szCs w:val="16"/>
            <w:u w:val="none"/>
          </w:rPr>
          <w:t>yves.schott@agvs-upsa.ch</w:t>
        </w:r>
      </w:hyperlink>
      <w:r w:rsidRPr="00C10627">
        <w:rPr>
          <w:color w:val="000000" w:themeColor="text1"/>
          <w:sz w:val="16"/>
          <w:szCs w:val="16"/>
        </w:rPr>
        <w:t>.</w:t>
      </w:r>
    </w:p>
    <w:p w14:paraId="2E21DE7D" w14:textId="77777777" w:rsidR="005350B7" w:rsidRPr="00C10627" w:rsidRDefault="005350B7" w:rsidP="005350B7">
      <w:pPr>
        <w:spacing w:line="240" w:lineRule="auto"/>
        <w:ind w:right="-114"/>
        <w:rPr>
          <w:i/>
          <w:color w:val="000000"/>
          <w:sz w:val="16"/>
          <w:szCs w:val="16"/>
        </w:rPr>
      </w:pPr>
    </w:p>
    <w:p w14:paraId="64612020" w14:textId="77777777" w:rsidR="005350B7" w:rsidRPr="00C10627" w:rsidRDefault="005350B7" w:rsidP="005350B7">
      <w:pPr>
        <w:spacing w:line="180" w:lineRule="atLeast"/>
        <w:rPr>
          <w:rFonts w:cs="Arial"/>
          <w:b/>
          <w:i/>
          <w:iCs/>
          <w:sz w:val="16"/>
          <w:szCs w:val="16"/>
        </w:rPr>
      </w:pPr>
      <w:r w:rsidRPr="00C10627">
        <w:rPr>
          <w:rFonts w:cs="Arial"/>
          <w:b/>
          <w:i/>
          <w:iCs/>
          <w:sz w:val="16"/>
          <w:szCs w:val="16"/>
        </w:rPr>
        <w:t>Der Auto Gewerbe Verband Schweiz (AGVS)</w:t>
      </w:r>
    </w:p>
    <w:p w14:paraId="7CC55B65" w14:textId="66AF0576" w:rsidR="00497027" w:rsidRPr="00284B4D" w:rsidRDefault="005350B7" w:rsidP="0027534D">
      <w:pPr>
        <w:spacing w:line="180" w:lineRule="atLeast"/>
        <w:jc w:val="both"/>
        <w:rPr>
          <w:b/>
          <w:bCs/>
          <w:sz w:val="16"/>
          <w:szCs w:val="16"/>
        </w:rPr>
      </w:pPr>
      <w:r w:rsidRPr="00C10627">
        <w:rPr>
          <w:i/>
          <w:iCs/>
          <w:sz w:val="16"/>
          <w:szCs w:val="16"/>
        </w:rPr>
        <w:t>Das Schweizer Autogewerbe ist feingliedrig strukturiert: 1927 gegründet, ist der AGVS heute der Branchen- und Berufsverband der Schweizer Garagisten, dem rund 4000 kleinere, mittlere und grössere Unternehmen, Markenvertretungen sowie unabhängige Betriebe angehören. Die insgesamt 39'000 Mitarbeitenden in den AGVS-Betrieben – davon 9000 in der Aus- und Weiterbildung stehende Nachwuchskräfte – verkaufen, warten und reparieren den grössten Teil des Schweizer Fuhrparks mit rund 6 Millionen Fahrzeugen.</w:t>
      </w:r>
      <w:bookmarkEnd w:id="1"/>
      <w:bookmarkEnd w:id="2"/>
      <w:r w:rsidR="00371B73" w:rsidRPr="00D444DE">
        <w:rPr>
          <w:b/>
          <w:bCs/>
          <w:noProof/>
          <w:sz w:val="16"/>
          <w:szCs w:val="16"/>
        </w:rPr>
        <w:drawing>
          <wp:anchor distT="0" distB="0" distL="114300" distR="114300" simplePos="0" relativeHeight="251660288" behindDoc="0" locked="0" layoutInCell="1" allowOverlap="1" wp14:anchorId="497600F0" wp14:editId="54567E48">
            <wp:simplePos x="0" y="0"/>
            <wp:positionH relativeFrom="column">
              <wp:posOffset>4152265</wp:posOffset>
            </wp:positionH>
            <wp:positionV relativeFrom="page">
              <wp:posOffset>10086975</wp:posOffset>
            </wp:positionV>
            <wp:extent cx="1791335" cy="413385"/>
            <wp:effectExtent l="0" t="0" r="0" b="5715"/>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1004_AGVS_Adressblock_300dpi.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91335" cy="413385"/>
                    </a:xfrm>
                    <a:prstGeom prst="rect">
                      <a:avLst/>
                    </a:prstGeom>
                  </pic:spPr>
                </pic:pic>
              </a:graphicData>
            </a:graphic>
            <wp14:sizeRelH relativeFrom="page">
              <wp14:pctWidth>0</wp14:pctWidth>
            </wp14:sizeRelH>
            <wp14:sizeRelV relativeFrom="page">
              <wp14:pctHeight>0</wp14:pctHeight>
            </wp14:sizeRelV>
          </wp:anchor>
        </w:drawing>
      </w:r>
    </w:p>
    <w:sectPr w:rsidR="00497027" w:rsidRPr="00284B4D" w:rsidSect="00DC1198">
      <w:footerReference w:type="default" r:id="rId11"/>
      <w:headerReference w:type="first" r:id="rId12"/>
      <w:footerReference w:type="first" r:id="rId13"/>
      <w:pgSz w:w="11907" w:h="16840" w:code="150"/>
      <w:pgMar w:top="2892" w:right="850" w:bottom="1418" w:left="1531" w:header="0" w:footer="272" w:gutter="0"/>
      <w:paperSrc w:first="9262" w:other="9262"/>
      <w:cols w:space="708"/>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11A333" w14:textId="77777777" w:rsidR="00D8152D" w:rsidRDefault="00D8152D">
      <w:pPr>
        <w:spacing w:line="240" w:lineRule="auto"/>
      </w:pPr>
      <w:r>
        <w:separator/>
      </w:r>
    </w:p>
  </w:endnote>
  <w:endnote w:type="continuationSeparator" w:id="0">
    <w:p w14:paraId="572D86E2" w14:textId="77777777" w:rsidR="00D8152D" w:rsidRDefault="00D8152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CellMar>
        <w:left w:w="0" w:type="dxa"/>
        <w:right w:w="0" w:type="dxa"/>
      </w:tblCellMar>
      <w:tblLook w:val="0000" w:firstRow="0" w:lastRow="0" w:firstColumn="0" w:lastColumn="0" w:noHBand="0" w:noVBand="0"/>
    </w:tblPr>
    <w:tblGrid>
      <w:gridCol w:w="5764"/>
      <w:gridCol w:w="3762"/>
    </w:tblGrid>
    <w:tr w:rsidR="00FE69E4" w14:paraId="2F0D61E6" w14:textId="77777777">
      <w:trPr>
        <w:trHeight w:val="160"/>
      </w:trPr>
      <w:tc>
        <w:tcPr>
          <w:tcW w:w="6067" w:type="dxa"/>
          <w:vAlign w:val="bottom"/>
        </w:tcPr>
        <w:p w14:paraId="08BD50F7" w14:textId="77777777" w:rsidR="00C71037" w:rsidRDefault="00333F7F">
          <w:pPr>
            <w:pStyle w:val="Speicherpfad6pt"/>
          </w:pPr>
          <w:r>
            <w:t xml:space="preserve">Seite </w:t>
          </w:r>
          <w:r>
            <w:rPr>
              <w:rStyle w:val="Seitenzahl"/>
            </w:rPr>
            <w:fldChar w:fldCharType="begin"/>
          </w:r>
          <w:r>
            <w:rPr>
              <w:rStyle w:val="Seitenzahl"/>
            </w:rPr>
            <w:instrText xml:space="preserve"> PAGE </w:instrText>
          </w:r>
          <w:r>
            <w:rPr>
              <w:rStyle w:val="Seitenzahl"/>
            </w:rPr>
            <w:fldChar w:fldCharType="separate"/>
          </w:r>
          <w:r>
            <w:rPr>
              <w:rStyle w:val="Seitenzahl"/>
              <w:noProof/>
            </w:rPr>
            <w:t>1</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Pr>
              <w:rStyle w:val="Seitenzahl"/>
              <w:noProof/>
            </w:rPr>
            <w:t>1</w:t>
          </w:r>
          <w:r>
            <w:rPr>
              <w:rStyle w:val="Seitenzahl"/>
            </w:rPr>
            <w:fldChar w:fldCharType="end"/>
          </w:r>
        </w:p>
      </w:tc>
      <w:tc>
        <w:tcPr>
          <w:tcW w:w="3969" w:type="dxa"/>
        </w:tcPr>
        <w:p w14:paraId="61D7CE2C" w14:textId="77777777" w:rsidR="00C71037" w:rsidRDefault="00C71037">
          <w:pPr>
            <w:pStyle w:val="Speicherpfad6pt"/>
            <w:rPr>
              <w:lang w:val="en-GB"/>
            </w:rPr>
          </w:pPr>
        </w:p>
      </w:tc>
    </w:tr>
  </w:tbl>
  <w:p w14:paraId="2F718E52" w14:textId="77777777" w:rsidR="00C71037" w:rsidRDefault="00C7103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D35AC8" w14:textId="77777777" w:rsidR="00C71037" w:rsidRDefault="00C71037" w:rsidP="000635E0">
    <w:pPr>
      <w:pStyle w:val="Logo"/>
    </w:pPr>
  </w:p>
  <w:p w14:paraId="534EB19A" w14:textId="77777777" w:rsidR="00C71037" w:rsidRDefault="00C71037" w:rsidP="000635E0">
    <w:pPr>
      <w:pStyle w:val="Log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DA2EDF" w14:textId="77777777" w:rsidR="00D8152D" w:rsidRDefault="00D8152D">
      <w:pPr>
        <w:spacing w:line="240" w:lineRule="auto"/>
      </w:pPr>
      <w:r>
        <w:separator/>
      </w:r>
    </w:p>
  </w:footnote>
  <w:footnote w:type="continuationSeparator" w:id="0">
    <w:p w14:paraId="18E016D5" w14:textId="77777777" w:rsidR="00D8152D" w:rsidRDefault="00D8152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328149" w14:textId="77777777" w:rsidR="00C71037" w:rsidRDefault="00333F7F">
    <w:pPr>
      <w:pStyle w:val="Kopfzeile"/>
    </w:pPr>
    <w:r>
      <w:rPr>
        <w:noProof/>
      </w:rPr>
      <w:drawing>
        <wp:anchor distT="0" distB="0" distL="114300" distR="114300" simplePos="0" relativeHeight="251659264" behindDoc="0" locked="1" layoutInCell="1" allowOverlap="1" wp14:anchorId="5DA539A3" wp14:editId="26A10E0A">
          <wp:simplePos x="0" y="0"/>
          <wp:positionH relativeFrom="margin">
            <wp:posOffset>3653790</wp:posOffset>
          </wp:positionH>
          <wp:positionV relativeFrom="page">
            <wp:posOffset>400050</wp:posOffset>
          </wp:positionV>
          <wp:extent cx="2415540" cy="701675"/>
          <wp:effectExtent l="0" t="0" r="3810" b="317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GVS_Bern_Logo_RGB.emf"/>
                  <pic:cNvPicPr/>
                </pic:nvPicPr>
                <pic:blipFill rotWithShape="1">
                  <a:blip r:embed="rId1">
                    <a:extLst>
                      <a:ext uri="{28A0092B-C50C-407E-A947-70E740481C1C}">
                        <a14:useLocalDpi xmlns:a14="http://schemas.microsoft.com/office/drawing/2010/main" val="0"/>
                      </a:ext>
                    </a:extLst>
                  </a:blip>
                  <a:srcRect b="4440"/>
                  <a:stretch/>
                </pic:blipFill>
                <pic:spPr bwMode="auto">
                  <a:xfrm>
                    <a:off x="0" y="0"/>
                    <a:ext cx="2415540" cy="7016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D66B9B"/>
    <w:multiLevelType w:val="hybridMultilevel"/>
    <w:tmpl w:val="DA72BFB8"/>
    <w:lvl w:ilvl="0" w:tplc="08070001">
      <w:start w:val="1"/>
      <w:numFmt w:val="bullet"/>
      <w:lvlText w:val=""/>
      <w:lvlJc w:val="left"/>
      <w:pPr>
        <w:ind w:left="1440" w:hanging="360"/>
      </w:pPr>
      <w:rPr>
        <w:rFonts w:ascii="Symbol" w:hAnsi="Symbol" w:hint="default"/>
      </w:rPr>
    </w:lvl>
    <w:lvl w:ilvl="1" w:tplc="08070003" w:tentative="1">
      <w:start w:val="1"/>
      <w:numFmt w:val="bullet"/>
      <w:lvlText w:val="o"/>
      <w:lvlJc w:val="left"/>
      <w:pPr>
        <w:ind w:left="2160" w:hanging="360"/>
      </w:pPr>
      <w:rPr>
        <w:rFonts w:ascii="Courier New" w:hAnsi="Courier New" w:cs="Courier New" w:hint="default"/>
      </w:rPr>
    </w:lvl>
    <w:lvl w:ilvl="2" w:tplc="08070005" w:tentative="1">
      <w:start w:val="1"/>
      <w:numFmt w:val="bullet"/>
      <w:lvlText w:val=""/>
      <w:lvlJc w:val="left"/>
      <w:pPr>
        <w:ind w:left="2880" w:hanging="360"/>
      </w:pPr>
      <w:rPr>
        <w:rFonts w:ascii="Wingdings" w:hAnsi="Wingdings" w:hint="default"/>
      </w:rPr>
    </w:lvl>
    <w:lvl w:ilvl="3" w:tplc="08070001" w:tentative="1">
      <w:start w:val="1"/>
      <w:numFmt w:val="bullet"/>
      <w:lvlText w:val=""/>
      <w:lvlJc w:val="left"/>
      <w:pPr>
        <w:ind w:left="3600" w:hanging="360"/>
      </w:pPr>
      <w:rPr>
        <w:rFonts w:ascii="Symbol" w:hAnsi="Symbol" w:hint="default"/>
      </w:rPr>
    </w:lvl>
    <w:lvl w:ilvl="4" w:tplc="08070003" w:tentative="1">
      <w:start w:val="1"/>
      <w:numFmt w:val="bullet"/>
      <w:lvlText w:val="o"/>
      <w:lvlJc w:val="left"/>
      <w:pPr>
        <w:ind w:left="4320" w:hanging="360"/>
      </w:pPr>
      <w:rPr>
        <w:rFonts w:ascii="Courier New" w:hAnsi="Courier New" w:cs="Courier New" w:hint="default"/>
      </w:rPr>
    </w:lvl>
    <w:lvl w:ilvl="5" w:tplc="08070005" w:tentative="1">
      <w:start w:val="1"/>
      <w:numFmt w:val="bullet"/>
      <w:lvlText w:val=""/>
      <w:lvlJc w:val="left"/>
      <w:pPr>
        <w:ind w:left="5040" w:hanging="360"/>
      </w:pPr>
      <w:rPr>
        <w:rFonts w:ascii="Wingdings" w:hAnsi="Wingdings" w:hint="default"/>
      </w:rPr>
    </w:lvl>
    <w:lvl w:ilvl="6" w:tplc="08070001" w:tentative="1">
      <w:start w:val="1"/>
      <w:numFmt w:val="bullet"/>
      <w:lvlText w:val=""/>
      <w:lvlJc w:val="left"/>
      <w:pPr>
        <w:ind w:left="5760" w:hanging="360"/>
      </w:pPr>
      <w:rPr>
        <w:rFonts w:ascii="Symbol" w:hAnsi="Symbol" w:hint="default"/>
      </w:rPr>
    </w:lvl>
    <w:lvl w:ilvl="7" w:tplc="08070003" w:tentative="1">
      <w:start w:val="1"/>
      <w:numFmt w:val="bullet"/>
      <w:lvlText w:val="o"/>
      <w:lvlJc w:val="left"/>
      <w:pPr>
        <w:ind w:left="6480" w:hanging="360"/>
      </w:pPr>
      <w:rPr>
        <w:rFonts w:ascii="Courier New" w:hAnsi="Courier New" w:cs="Courier New" w:hint="default"/>
      </w:rPr>
    </w:lvl>
    <w:lvl w:ilvl="8" w:tplc="08070005" w:tentative="1">
      <w:start w:val="1"/>
      <w:numFmt w:val="bullet"/>
      <w:lvlText w:val=""/>
      <w:lvlJc w:val="left"/>
      <w:pPr>
        <w:ind w:left="7200" w:hanging="360"/>
      </w:pPr>
      <w:rPr>
        <w:rFonts w:ascii="Wingdings" w:hAnsi="Wingdings" w:hint="default"/>
      </w:rPr>
    </w:lvl>
  </w:abstractNum>
  <w:abstractNum w:abstractNumId="1" w15:restartNumberingAfterBreak="0">
    <w:nsid w:val="3FEE46E0"/>
    <w:multiLevelType w:val="hybridMultilevel"/>
    <w:tmpl w:val="A008F59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5C916E29"/>
    <w:multiLevelType w:val="hybridMultilevel"/>
    <w:tmpl w:val="FA9CD86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5E69362E"/>
    <w:multiLevelType w:val="hybridMultilevel"/>
    <w:tmpl w:val="78085BA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78372B71"/>
    <w:multiLevelType w:val="hybridMultilevel"/>
    <w:tmpl w:val="596AC70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720713139">
    <w:abstractNumId w:val="3"/>
  </w:num>
  <w:num w:numId="2" w16cid:durableId="1567378029">
    <w:abstractNumId w:val="4"/>
  </w:num>
  <w:num w:numId="3" w16cid:durableId="30812500">
    <w:abstractNumId w:val="1"/>
  </w:num>
  <w:num w:numId="4" w16cid:durableId="1153910381">
    <w:abstractNumId w:val="0"/>
  </w:num>
  <w:num w:numId="5" w16cid:durableId="17572432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B73"/>
    <w:rsid w:val="00000384"/>
    <w:rsid w:val="00021BC1"/>
    <w:rsid w:val="00024DF8"/>
    <w:rsid w:val="00033075"/>
    <w:rsid w:val="00040535"/>
    <w:rsid w:val="00041845"/>
    <w:rsid w:val="00042F1F"/>
    <w:rsid w:val="00054995"/>
    <w:rsid w:val="00074120"/>
    <w:rsid w:val="000857EE"/>
    <w:rsid w:val="0009280B"/>
    <w:rsid w:val="000A1CBC"/>
    <w:rsid w:val="000B5638"/>
    <w:rsid w:val="000C59A1"/>
    <w:rsid w:val="000C76AF"/>
    <w:rsid w:val="000D0C74"/>
    <w:rsid w:val="000D226C"/>
    <w:rsid w:val="000D4821"/>
    <w:rsid w:val="000E0B7F"/>
    <w:rsid w:val="000E1AA4"/>
    <w:rsid w:val="000F6E63"/>
    <w:rsid w:val="0010068C"/>
    <w:rsid w:val="0010438B"/>
    <w:rsid w:val="0011027D"/>
    <w:rsid w:val="00120452"/>
    <w:rsid w:val="00121000"/>
    <w:rsid w:val="0012379C"/>
    <w:rsid w:val="001258B1"/>
    <w:rsid w:val="0013472D"/>
    <w:rsid w:val="001438B1"/>
    <w:rsid w:val="00154579"/>
    <w:rsid w:val="00172763"/>
    <w:rsid w:val="00177260"/>
    <w:rsid w:val="00185A91"/>
    <w:rsid w:val="0019578B"/>
    <w:rsid w:val="001A6991"/>
    <w:rsid w:val="001B1A4C"/>
    <w:rsid w:val="001B302F"/>
    <w:rsid w:val="001B670D"/>
    <w:rsid w:val="001C08DA"/>
    <w:rsid w:val="001C2583"/>
    <w:rsid w:val="001D2A50"/>
    <w:rsid w:val="001D3663"/>
    <w:rsid w:val="001D78D4"/>
    <w:rsid w:val="001E6A93"/>
    <w:rsid w:val="00204498"/>
    <w:rsid w:val="002110A7"/>
    <w:rsid w:val="00213747"/>
    <w:rsid w:val="00231423"/>
    <w:rsid w:val="00231EA4"/>
    <w:rsid w:val="002422B5"/>
    <w:rsid w:val="00242953"/>
    <w:rsid w:val="0024728B"/>
    <w:rsid w:val="0025121B"/>
    <w:rsid w:val="002541CA"/>
    <w:rsid w:val="00257F97"/>
    <w:rsid w:val="00262754"/>
    <w:rsid w:val="00262C17"/>
    <w:rsid w:val="00274800"/>
    <w:rsid w:val="0027534D"/>
    <w:rsid w:val="00280BA4"/>
    <w:rsid w:val="00284B4D"/>
    <w:rsid w:val="00285B64"/>
    <w:rsid w:val="0028643B"/>
    <w:rsid w:val="002A22F9"/>
    <w:rsid w:val="002A28DF"/>
    <w:rsid w:val="002A5385"/>
    <w:rsid w:val="002A550C"/>
    <w:rsid w:val="002D1CA5"/>
    <w:rsid w:val="002E3EB6"/>
    <w:rsid w:val="002F11F8"/>
    <w:rsid w:val="003016F3"/>
    <w:rsid w:val="003123BC"/>
    <w:rsid w:val="003176A1"/>
    <w:rsid w:val="00320939"/>
    <w:rsid w:val="00325894"/>
    <w:rsid w:val="00332009"/>
    <w:rsid w:val="00333277"/>
    <w:rsid w:val="00333F7F"/>
    <w:rsid w:val="003360D0"/>
    <w:rsid w:val="00341DDF"/>
    <w:rsid w:val="003437FC"/>
    <w:rsid w:val="00353C4C"/>
    <w:rsid w:val="00363ACD"/>
    <w:rsid w:val="00366713"/>
    <w:rsid w:val="00371B73"/>
    <w:rsid w:val="00383190"/>
    <w:rsid w:val="00391195"/>
    <w:rsid w:val="00392986"/>
    <w:rsid w:val="00395668"/>
    <w:rsid w:val="003A4277"/>
    <w:rsid w:val="003B5879"/>
    <w:rsid w:val="003C38A1"/>
    <w:rsid w:val="003D5E35"/>
    <w:rsid w:val="003D7FC6"/>
    <w:rsid w:val="003E4E2D"/>
    <w:rsid w:val="003F0A32"/>
    <w:rsid w:val="003F108F"/>
    <w:rsid w:val="0040037E"/>
    <w:rsid w:val="00401445"/>
    <w:rsid w:val="0041696B"/>
    <w:rsid w:val="004251B5"/>
    <w:rsid w:val="004374F2"/>
    <w:rsid w:val="00437E80"/>
    <w:rsid w:val="00443CF4"/>
    <w:rsid w:val="004526E0"/>
    <w:rsid w:val="00457946"/>
    <w:rsid w:val="00474270"/>
    <w:rsid w:val="00484998"/>
    <w:rsid w:val="00491BA0"/>
    <w:rsid w:val="00491F1A"/>
    <w:rsid w:val="004933FB"/>
    <w:rsid w:val="00497027"/>
    <w:rsid w:val="004B2014"/>
    <w:rsid w:val="004C0D89"/>
    <w:rsid w:val="004F1A40"/>
    <w:rsid w:val="004F59CF"/>
    <w:rsid w:val="00513D87"/>
    <w:rsid w:val="00513E04"/>
    <w:rsid w:val="00513E5E"/>
    <w:rsid w:val="00524AF9"/>
    <w:rsid w:val="00527B94"/>
    <w:rsid w:val="005350B7"/>
    <w:rsid w:val="00540366"/>
    <w:rsid w:val="0056116A"/>
    <w:rsid w:val="005620AD"/>
    <w:rsid w:val="00570674"/>
    <w:rsid w:val="0059111F"/>
    <w:rsid w:val="0059439C"/>
    <w:rsid w:val="005945AF"/>
    <w:rsid w:val="005A22AE"/>
    <w:rsid w:val="005D01F5"/>
    <w:rsid w:val="005D4EF6"/>
    <w:rsid w:val="005D5A0E"/>
    <w:rsid w:val="005E0139"/>
    <w:rsid w:val="005E62B4"/>
    <w:rsid w:val="005E7FDD"/>
    <w:rsid w:val="00603F0E"/>
    <w:rsid w:val="00613E27"/>
    <w:rsid w:val="006140FA"/>
    <w:rsid w:val="00625D73"/>
    <w:rsid w:val="00653344"/>
    <w:rsid w:val="006546B6"/>
    <w:rsid w:val="00657456"/>
    <w:rsid w:val="0066161E"/>
    <w:rsid w:val="00662D52"/>
    <w:rsid w:val="00673D73"/>
    <w:rsid w:val="00675A52"/>
    <w:rsid w:val="00695041"/>
    <w:rsid w:val="0069583F"/>
    <w:rsid w:val="006A08A0"/>
    <w:rsid w:val="006A7AF9"/>
    <w:rsid w:val="006B3305"/>
    <w:rsid w:val="006C4B61"/>
    <w:rsid w:val="006D1388"/>
    <w:rsid w:val="006D2771"/>
    <w:rsid w:val="006D47B6"/>
    <w:rsid w:val="006D4994"/>
    <w:rsid w:val="006D4C1C"/>
    <w:rsid w:val="006E2A1B"/>
    <w:rsid w:val="006F47F5"/>
    <w:rsid w:val="006F4DC4"/>
    <w:rsid w:val="00707E97"/>
    <w:rsid w:val="007344B1"/>
    <w:rsid w:val="00744520"/>
    <w:rsid w:val="00752625"/>
    <w:rsid w:val="00753E68"/>
    <w:rsid w:val="0077147E"/>
    <w:rsid w:val="00773209"/>
    <w:rsid w:val="007748D8"/>
    <w:rsid w:val="007755C2"/>
    <w:rsid w:val="0078725F"/>
    <w:rsid w:val="00790FC9"/>
    <w:rsid w:val="00791D34"/>
    <w:rsid w:val="007926AA"/>
    <w:rsid w:val="007A1783"/>
    <w:rsid w:val="007A17BE"/>
    <w:rsid w:val="007B459F"/>
    <w:rsid w:val="007C054C"/>
    <w:rsid w:val="007C74FD"/>
    <w:rsid w:val="007D6FB1"/>
    <w:rsid w:val="007E42EE"/>
    <w:rsid w:val="007E4916"/>
    <w:rsid w:val="007E690E"/>
    <w:rsid w:val="007F4B11"/>
    <w:rsid w:val="007F6B07"/>
    <w:rsid w:val="008349A2"/>
    <w:rsid w:val="00841253"/>
    <w:rsid w:val="00843AE1"/>
    <w:rsid w:val="00854548"/>
    <w:rsid w:val="00856CF8"/>
    <w:rsid w:val="00864921"/>
    <w:rsid w:val="0086537F"/>
    <w:rsid w:val="008658BC"/>
    <w:rsid w:val="00873DB9"/>
    <w:rsid w:val="00887EC3"/>
    <w:rsid w:val="00891CA0"/>
    <w:rsid w:val="008923FF"/>
    <w:rsid w:val="008A5422"/>
    <w:rsid w:val="008A73B6"/>
    <w:rsid w:val="008B0049"/>
    <w:rsid w:val="008B15AB"/>
    <w:rsid w:val="008B5EA8"/>
    <w:rsid w:val="008C0B6A"/>
    <w:rsid w:val="008C11EB"/>
    <w:rsid w:val="008C1E68"/>
    <w:rsid w:val="008D1235"/>
    <w:rsid w:val="008E0603"/>
    <w:rsid w:val="008E0D5B"/>
    <w:rsid w:val="008E76FB"/>
    <w:rsid w:val="008F03CF"/>
    <w:rsid w:val="0092012F"/>
    <w:rsid w:val="0092240D"/>
    <w:rsid w:val="009240AC"/>
    <w:rsid w:val="00935F11"/>
    <w:rsid w:val="00941F97"/>
    <w:rsid w:val="00945B96"/>
    <w:rsid w:val="00952DC3"/>
    <w:rsid w:val="00954369"/>
    <w:rsid w:val="009611FE"/>
    <w:rsid w:val="00964F2E"/>
    <w:rsid w:val="00974C5F"/>
    <w:rsid w:val="009947E6"/>
    <w:rsid w:val="0099522A"/>
    <w:rsid w:val="0099606A"/>
    <w:rsid w:val="00996FF7"/>
    <w:rsid w:val="009974CC"/>
    <w:rsid w:val="009A360F"/>
    <w:rsid w:val="009A71F5"/>
    <w:rsid w:val="009B312B"/>
    <w:rsid w:val="009C71E3"/>
    <w:rsid w:val="00A0627C"/>
    <w:rsid w:val="00A15D39"/>
    <w:rsid w:val="00A338C4"/>
    <w:rsid w:val="00A33AA4"/>
    <w:rsid w:val="00A374FF"/>
    <w:rsid w:val="00A40E0C"/>
    <w:rsid w:val="00A426EF"/>
    <w:rsid w:val="00A43705"/>
    <w:rsid w:val="00A46922"/>
    <w:rsid w:val="00A773F3"/>
    <w:rsid w:val="00A84FFD"/>
    <w:rsid w:val="00A96103"/>
    <w:rsid w:val="00AA76DB"/>
    <w:rsid w:val="00AB5EB0"/>
    <w:rsid w:val="00AB7F75"/>
    <w:rsid w:val="00AC241F"/>
    <w:rsid w:val="00AC33C9"/>
    <w:rsid w:val="00AD0F96"/>
    <w:rsid w:val="00AD6825"/>
    <w:rsid w:val="00AE07D6"/>
    <w:rsid w:val="00AE0DBF"/>
    <w:rsid w:val="00AE4013"/>
    <w:rsid w:val="00AE77A0"/>
    <w:rsid w:val="00AF5AAB"/>
    <w:rsid w:val="00B07F6C"/>
    <w:rsid w:val="00B1141C"/>
    <w:rsid w:val="00B1199C"/>
    <w:rsid w:val="00B137C0"/>
    <w:rsid w:val="00B13D91"/>
    <w:rsid w:val="00B140D1"/>
    <w:rsid w:val="00B230AE"/>
    <w:rsid w:val="00B25641"/>
    <w:rsid w:val="00B25D20"/>
    <w:rsid w:val="00B31E80"/>
    <w:rsid w:val="00B506AB"/>
    <w:rsid w:val="00B606A8"/>
    <w:rsid w:val="00B60C1F"/>
    <w:rsid w:val="00B61251"/>
    <w:rsid w:val="00B645D9"/>
    <w:rsid w:val="00B64D57"/>
    <w:rsid w:val="00B65B84"/>
    <w:rsid w:val="00B926CD"/>
    <w:rsid w:val="00B92B15"/>
    <w:rsid w:val="00B95A86"/>
    <w:rsid w:val="00BA696C"/>
    <w:rsid w:val="00BE0CB1"/>
    <w:rsid w:val="00BE0DEC"/>
    <w:rsid w:val="00BE71C3"/>
    <w:rsid w:val="00BF363D"/>
    <w:rsid w:val="00C06FD5"/>
    <w:rsid w:val="00C0789F"/>
    <w:rsid w:val="00C10627"/>
    <w:rsid w:val="00C2015B"/>
    <w:rsid w:val="00C212FF"/>
    <w:rsid w:val="00C279C9"/>
    <w:rsid w:val="00C46453"/>
    <w:rsid w:val="00C558DD"/>
    <w:rsid w:val="00C65724"/>
    <w:rsid w:val="00C71037"/>
    <w:rsid w:val="00C74DE5"/>
    <w:rsid w:val="00C81200"/>
    <w:rsid w:val="00C90C62"/>
    <w:rsid w:val="00CA4C64"/>
    <w:rsid w:val="00CA723E"/>
    <w:rsid w:val="00CD256A"/>
    <w:rsid w:val="00CD2D68"/>
    <w:rsid w:val="00CD3358"/>
    <w:rsid w:val="00CD345E"/>
    <w:rsid w:val="00CE4BCC"/>
    <w:rsid w:val="00D1015D"/>
    <w:rsid w:val="00D25143"/>
    <w:rsid w:val="00D32AF2"/>
    <w:rsid w:val="00D3589A"/>
    <w:rsid w:val="00D450FB"/>
    <w:rsid w:val="00D522E1"/>
    <w:rsid w:val="00D60C40"/>
    <w:rsid w:val="00D63264"/>
    <w:rsid w:val="00D7286B"/>
    <w:rsid w:val="00D8152D"/>
    <w:rsid w:val="00D8592C"/>
    <w:rsid w:val="00D85C3A"/>
    <w:rsid w:val="00D94F99"/>
    <w:rsid w:val="00D97451"/>
    <w:rsid w:val="00DA75AC"/>
    <w:rsid w:val="00DB35BB"/>
    <w:rsid w:val="00DB63F6"/>
    <w:rsid w:val="00DC007A"/>
    <w:rsid w:val="00DC2100"/>
    <w:rsid w:val="00DC2439"/>
    <w:rsid w:val="00DC5F0C"/>
    <w:rsid w:val="00DC742A"/>
    <w:rsid w:val="00DD6081"/>
    <w:rsid w:val="00DE5EA9"/>
    <w:rsid w:val="00DF41E8"/>
    <w:rsid w:val="00E11CD9"/>
    <w:rsid w:val="00E12429"/>
    <w:rsid w:val="00E30567"/>
    <w:rsid w:val="00E321CA"/>
    <w:rsid w:val="00E40D8D"/>
    <w:rsid w:val="00E471B0"/>
    <w:rsid w:val="00E50E96"/>
    <w:rsid w:val="00E52712"/>
    <w:rsid w:val="00E52A04"/>
    <w:rsid w:val="00E5718A"/>
    <w:rsid w:val="00E60B2E"/>
    <w:rsid w:val="00E60E96"/>
    <w:rsid w:val="00E67BE9"/>
    <w:rsid w:val="00E7326F"/>
    <w:rsid w:val="00E77A56"/>
    <w:rsid w:val="00E831EB"/>
    <w:rsid w:val="00E86099"/>
    <w:rsid w:val="00E86BF0"/>
    <w:rsid w:val="00E873A9"/>
    <w:rsid w:val="00EB122F"/>
    <w:rsid w:val="00EB5379"/>
    <w:rsid w:val="00EC5B1A"/>
    <w:rsid w:val="00EC7679"/>
    <w:rsid w:val="00ED1FEC"/>
    <w:rsid w:val="00ED438B"/>
    <w:rsid w:val="00EE2297"/>
    <w:rsid w:val="00EE4704"/>
    <w:rsid w:val="00EF04B3"/>
    <w:rsid w:val="00EF0775"/>
    <w:rsid w:val="00EF169D"/>
    <w:rsid w:val="00EF4CD6"/>
    <w:rsid w:val="00F1339B"/>
    <w:rsid w:val="00F1661D"/>
    <w:rsid w:val="00F25515"/>
    <w:rsid w:val="00F32285"/>
    <w:rsid w:val="00F37225"/>
    <w:rsid w:val="00F40981"/>
    <w:rsid w:val="00F42FA4"/>
    <w:rsid w:val="00F8573B"/>
    <w:rsid w:val="00F85BC3"/>
    <w:rsid w:val="00F91BE3"/>
    <w:rsid w:val="00F969C1"/>
    <w:rsid w:val="00F96A61"/>
    <w:rsid w:val="00FA2EC9"/>
    <w:rsid w:val="00FC1EAA"/>
    <w:rsid w:val="00FD0F4F"/>
    <w:rsid w:val="00FD684C"/>
    <w:rsid w:val="00FE2270"/>
    <w:rsid w:val="00FE2A89"/>
    <w:rsid w:val="00FE561A"/>
    <w:rsid w:val="00FE71BC"/>
    <w:rsid w:val="00FF50F5"/>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BAC98"/>
  <w15:chartTrackingRefBased/>
  <w15:docId w15:val="{0F7CF9C9-FBAC-46DF-829A-E0440CAB1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71B73"/>
    <w:pPr>
      <w:spacing w:after="0" w:line="260" w:lineRule="exact"/>
    </w:pPr>
    <w:rPr>
      <w:rFonts w:ascii="Arial" w:eastAsia="Times New Roman" w:hAnsi="Arial" w:cs="Times New Roman"/>
      <w:szCs w:val="24"/>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371B73"/>
    <w:pPr>
      <w:tabs>
        <w:tab w:val="center" w:pos="4536"/>
        <w:tab w:val="right" w:pos="9072"/>
      </w:tabs>
    </w:pPr>
  </w:style>
  <w:style w:type="character" w:customStyle="1" w:styleId="KopfzeileZchn">
    <w:name w:val="Kopfzeile Zchn"/>
    <w:basedOn w:val="Absatz-Standardschriftart"/>
    <w:link w:val="Kopfzeile"/>
    <w:rsid w:val="00371B73"/>
    <w:rPr>
      <w:rFonts w:ascii="Arial" w:eastAsia="Times New Roman" w:hAnsi="Arial" w:cs="Times New Roman"/>
      <w:szCs w:val="24"/>
      <w:lang w:eastAsia="de-CH"/>
    </w:rPr>
  </w:style>
  <w:style w:type="paragraph" w:customStyle="1" w:styleId="Speicherpfad6pt">
    <w:name w:val="Speicherpfad 6 pt"/>
    <w:basedOn w:val="Standard"/>
    <w:rsid w:val="00371B73"/>
    <w:pPr>
      <w:spacing w:line="160" w:lineRule="exact"/>
      <w:jc w:val="both"/>
    </w:pPr>
    <w:rPr>
      <w:sz w:val="12"/>
    </w:rPr>
  </w:style>
  <w:style w:type="paragraph" w:styleId="Fuzeile">
    <w:name w:val="footer"/>
    <w:basedOn w:val="Standard"/>
    <w:link w:val="FuzeileZchn"/>
    <w:rsid w:val="00371B73"/>
    <w:pPr>
      <w:tabs>
        <w:tab w:val="center" w:pos="4536"/>
        <w:tab w:val="right" w:pos="9072"/>
      </w:tabs>
    </w:pPr>
  </w:style>
  <w:style w:type="character" w:customStyle="1" w:styleId="FuzeileZchn">
    <w:name w:val="Fußzeile Zchn"/>
    <w:basedOn w:val="Absatz-Standardschriftart"/>
    <w:link w:val="Fuzeile"/>
    <w:rsid w:val="00371B73"/>
    <w:rPr>
      <w:rFonts w:ascii="Arial" w:eastAsia="Times New Roman" w:hAnsi="Arial" w:cs="Times New Roman"/>
      <w:szCs w:val="24"/>
      <w:lang w:eastAsia="de-CH"/>
    </w:rPr>
  </w:style>
  <w:style w:type="character" w:styleId="Seitenzahl">
    <w:name w:val="page number"/>
    <w:basedOn w:val="Absatz-Standardschriftart"/>
    <w:rsid w:val="00371B73"/>
  </w:style>
  <w:style w:type="paragraph" w:customStyle="1" w:styleId="Logo">
    <w:name w:val="Logo"/>
    <w:basedOn w:val="Standard"/>
    <w:rsid w:val="00371B73"/>
    <w:rPr>
      <w:vanish/>
    </w:rPr>
  </w:style>
  <w:style w:type="paragraph" w:customStyle="1" w:styleId="fuerFragenkursiv">
    <w:name w:val="fuer Fragen kursiv"/>
    <w:basedOn w:val="Standard"/>
    <w:rsid w:val="00371B73"/>
    <w:pPr>
      <w:spacing w:line="340" w:lineRule="exact"/>
    </w:pPr>
    <w:rPr>
      <w:i/>
      <w:iCs/>
      <w:sz w:val="20"/>
    </w:rPr>
  </w:style>
  <w:style w:type="character" w:styleId="Hyperlink">
    <w:name w:val="Hyperlink"/>
    <w:basedOn w:val="Absatz-Standardschriftart"/>
    <w:rsid w:val="00371B73"/>
    <w:rPr>
      <w:color w:val="0563C1" w:themeColor="hyperlink"/>
      <w:u w:val="single"/>
    </w:rPr>
  </w:style>
  <w:style w:type="paragraph" w:styleId="berarbeitung">
    <w:name w:val="Revision"/>
    <w:hidden/>
    <w:uiPriority w:val="99"/>
    <w:semiHidden/>
    <w:rsid w:val="00A426EF"/>
    <w:pPr>
      <w:spacing w:after="0" w:line="240" w:lineRule="auto"/>
    </w:pPr>
    <w:rPr>
      <w:rFonts w:ascii="Arial" w:eastAsia="Times New Roman" w:hAnsi="Arial" w:cs="Times New Roman"/>
      <w:szCs w:val="24"/>
      <w:lang w:eastAsia="de-CH"/>
    </w:rPr>
  </w:style>
  <w:style w:type="character" w:styleId="Kommentarzeichen">
    <w:name w:val="annotation reference"/>
    <w:basedOn w:val="Absatz-Standardschriftart"/>
    <w:uiPriority w:val="99"/>
    <w:semiHidden/>
    <w:unhideWhenUsed/>
    <w:rsid w:val="00242953"/>
    <w:rPr>
      <w:sz w:val="16"/>
      <w:szCs w:val="16"/>
    </w:rPr>
  </w:style>
  <w:style w:type="paragraph" w:styleId="Kommentartext">
    <w:name w:val="annotation text"/>
    <w:basedOn w:val="Standard"/>
    <w:link w:val="KommentartextZchn"/>
    <w:uiPriority w:val="99"/>
    <w:unhideWhenUsed/>
    <w:rsid w:val="00242953"/>
    <w:pPr>
      <w:spacing w:line="240" w:lineRule="auto"/>
    </w:pPr>
    <w:rPr>
      <w:sz w:val="20"/>
      <w:szCs w:val="20"/>
    </w:rPr>
  </w:style>
  <w:style w:type="character" w:customStyle="1" w:styleId="KommentartextZchn">
    <w:name w:val="Kommentartext Zchn"/>
    <w:basedOn w:val="Absatz-Standardschriftart"/>
    <w:link w:val="Kommentartext"/>
    <w:uiPriority w:val="99"/>
    <w:rsid w:val="00242953"/>
    <w:rPr>
      <w:rFonts w:ascii="Arial" w:eastAsia="Times New Roman" w:hAnsi="Arial" w:cs="Times New Roman"/>
      <w:sz w:val="20"/>
      <w:szCs w:val="20"/>
      <w:lang w:eastAsia="de-CH"/>
    </w:rPr>
  </w:style>
  <w:style w:type="paragraph" w:styleId="Kommentarthema">
    <w:name w:val="annotation subject"/>
    <w:basedOn w:val="Kommentartext"/>
    <w:next w:val="Kommentartext"/>
    <w:link w:val="KommentarthemaZchn"/>
    <w:uiPriority w:val="99"/>
    <w:semiHidden/>
    <w:unhideWhenUsed/>
    <w:rsid w:val="00242953"/>
    <w:rPr>
      <w:b/>
      <w:bCs/>
    </w:rPr>
  </w:style>
  <w:style w:type="character" w:customStyle="1" w:styleId="KommentarthemaZchn">
    <w:name w:val="Kommentarthema Zchn"/>
    <w:basedOn w:val="KommentartextZchn"/>
    <w:link w:val="Kommentarthema"/>
    <w:uiPriority w:val="99"/>
    <w:semiHidden/>
    <w:rsid w:val="00242953"/>
    <w:rPr>
      <w:rFonts w:ascii="Arial" w:eastAsia="Times New Roman" w:hAnsi="Arial" w:cs="Times New Roman"/>
      <w:b/>
      <w:bCs/>
      <w:sz w:val="20"/>
      <w:szCs w:val="20"/>
      <w:lang w:eastAsia="de-CH"/>
    </w:rPr>
  </w:style>
  <w:style w:type="character" w:styleId="NichtaufgelsteErwhnung">
    <w:name w:val="Unresolved Mention"/>
    <w:basedOn w:val="Absatz-Standardschriftart"/>
    <w:uiPriority w:val="99"/>
    <w:semiHidden/>
    <w:unhideWhenUsed/>
    <w:rsid w:val="00F1661D"/>
    <w:rPr>
      <w:color w:val="605E5C"/>
      <w:shd w:val="clear" w:color="auto" w:fill="E1DFDD"/>
    </w:rPr>
  </w:style>
  <w:style w:type="paragraph" w:styleId="Listenabsatz">
    <w:name w:val="List Paragraph"/>
    <w:basedOn w:val="Standard"/>
    <w:uiPriority w:val="34"/>
    <w:qFormat/>
    <w:rsid w:val="002A550C"/>
    <w:pPr>
      <w:ind w:left="720"/>
      <w:contextualSpacing/>
    </w:pPr>
  </w:style>
  <w:style w:type="paragraph" w:styleId="KeinLeerraum">
    <w:name w:val="No Spacing"/>
    <w:basedOn w:val="Standard"/>
    <w:next w:val="Standard"/>
    <w:uiPriority w:val="1"/>
    <w:qFormat/>
    <w:rsid w:val="00040535"/>
    <w:pPr>
      <w:spacing w:line="240" w:lineRule="auto"/>
    </w:pPr>
    <w:rPr>
      <w:rFonts w:asciiTheme="minorHAnsi" w:eastAsiaTheme="minorHAnsi" w:hAnsiTheme="minorHAnsi" w:cstheme="minorBidi"/>
      <w:color w:val="000000"/>
      <w:sz w:val="20"/>
      <w:szCs w:val="22"/>
      <w:lang w:eastAsia="en-US"/>
    </w:rPr>
  </w:style>
  <w:style w:type="paragraph" w:customStyle="1" w:styleId="Zwischentitel">
    <w:name w:val="Zwischentitel"/>
    <w:basedOn w:val="Standard"/>
    <w:next w:val="Standard"/>
    <w:qFormat/>
    <w:rsid w:val="00040535"/>
    <w:pPr>
      <w:spacing w:before="240" w:after="120" w:line="240" w:lineRule="auto"/>
    </w:pPr>
    <w:rPr>
      <w:rFonts w:asciiTheme="minorHAnsi" w:eastAsiaTheme="minorHAnsi" w:hAnsiTheme="minorHAnsi" w:cstheme="minorBidi"/>
      <w:b/>
      <w:color w:val="000000"/>
      <w:szCs w:val="22"/>
      <w:lang w:eastAsia="en-US"/>
    </w:rPr>
  </w:style>
  <w:style w:type="character" w:styleId="BesuchterLink">
    <w:name w:val="FollowedHyperlink"/>
    <w:basedOn w:val="Absatz-Standardschriftart"/>
    <w:uiPriority w:val="99"/>
    <w:semiHidden/>
    <w:unhideWhenUsed/>
    <w:rsid w:val="004B2014"/>
    <w:rPr>
      <w:color w:val="954F72" w:themeColor="followedHyperlink"/>
      <w:u w:val="single"/>
    </w:rPr>
  </w:style>
  <w:style w:type="paragraph" w:customStyle="1" w:styleId="Lauftextfett">
    <w:name w:val="#Lauftext (fett)"/>
    <w:basedOn w:val="Lauftext"/>
    <w:link w:val="LauftextfettZchn"/>
    <w:qFormat/>
    <w:rsid w:val="005350B7"/>
    <w:rPr>
      <w:b/>
    </w:rPr>
  </w:style>
  <w:style w:type="character" w:customStyle="1" w:styleId="LauftextfettZchn">
    <w:name w:val="#Lauftext (fett) Zchn"/>
    <w:basedOn w:val="LauftextZchn"/>
    <w:link w:val="Lauftextfett"/>
    <w:rsid w:val="005350B7"/>
    <w:rPr>
      <w:rFonts w:ascii="Franklin Gothic Book" w:eastAsia="Times New Roman" w:hAnsi="Franklin Gothic Book" w:cs="Times New Roman"/>
      <w:b/>
      <w:szCs w:val="20"/>
      <w:lang w:eastAsia="de-CH"/>
    </w:rPr>
  </w:style>
  <w:style w:type="paragraph" w:customStyle="1" w:styleId="Lauftext">
    <w:name w:val="#Lauftext"/>
    <w:basedOn w:val="Standard"/>
    <w:link w:val="LauftextZchn"/>
    <w:qFormat/>
    <w:rsid w:val="005350B7"/>
    <w:pPr>
      <w:spacing w:after="240" w:line="270" w:lineRule="atLeast"/>
    </w:pPr>
    <w:rPr>
      <w:rFonts w:ascii="Franklin Gothic Book" w:hAnsi="Franklin Gothic Book"/>
      <w:szCs w:val="20"/>
    </w:rPr>
  </w:style>
  <w:style w:type="character" w:customStyle="1" w:styleId="LauftextZchn">
    <w:name w:val="#Lauftext Zchn"/>
    <w:basedOn w:val="Absatz-Standardschriftart"/>
    <w:link w:val="Lauftext"/>
    <w:rsid w:val="005350B7"/>
    <w:rPr>
      <w:rFonts w:ascii="Franklin Gothic Book" w:eastAsia="Times New Roman" w:hAnsi="Franklin Gothic Book" w:cs="Times New Roman"/>
      <w:szCs w:val="20"/>
      <w:lang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2391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yves.schott@agvs-upsa.ch"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A93795-869F-48B0-8CC2-2819C636BE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820</Words>
  <Characters>5170</Characters>
  <Application>Microsoft Office Word</Application>
  <DocSecurity>0</DocSecurity>
  <Lines>43</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Mira</dc:creator>
  <cp:keywords/>
  <dc:description/>
  <cp:lastModifiedBy>Yves Schott</cp:lastModifiedBy>
  <cp:revision>10</cp:revision>
  <cp:lastPrinted>2023-09-25T08:32:00Z</cp:lastPrinted>
  <dcterms:created xsi:type="dcterms:W3CDTF">2024-11-08T08:49:00Z</dcterms:created>
  <dcterms:modified xsi:type="dcterms:W3CDTF">2024-11-11T09:41:00Z</dcterms:modified>
</cp:coreProperties>
</file>